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A13A" w14:textId="483CCDE3" w:rsidR="009F00D8" w:rsidRPr="00C62F09" w:rsidRDefault="009F00D8">
      <w:pPr>
        <w:rPr>
          <w:b/>
          <w:bCs/>
          <w:color w:val="7030A0"/>
          <w:sz w:val="36"/>
          <w:szCs w:val="36"/>
        </w:rPr>
      </w:pPr>
      <w:r w:rsidRPr="00C62F09">
        <w:rPr>
          <w:b/>
          <w:bCs/>
          <w:color w:val="7030A0"/>
          <w:sz w:val="36"/>
          <w:szCs w:val="36"/>
        </w:rPr>
        <w:t>Request for Quotation</w:t>
      </w:r>
      <w:r w:rsidR="00375FB3">
        <w:rPr>
          <w:b/>
          <w:bCs/>
          <w:color w:val="7030A0"/>
          <w:sz w:val="36"/>
          <w:szCs w:val="36"/>
        </w:rPr>
        <w:t>s</w:t>
      </w:r>
      <w:r w:rsidRPr="00C62F09">
        <w:rPr>
          <w:b/>
          <w:bCs/>
          <w:color w:val="7030A0"/>
          <w:sz w:val="36"/>
          <w:szCs w:val="36"/>
        </w:rPr>
        <w:t xml:space="preserve"> – </w:t>
      </w:r>
      <w:r w:rsidR="008047B0">
        <w:rPr>
          <w:b/>
          <w:bCs/>
          <w:color w:val="7030A0"/>
          <w:sz w:val="36"/>
          <w:szCs w:val="36"/>
        </w:rPr>
        <w:t>Taxi</w:t>
      </w:r>
      <w:r w:rsidRPr="00C62F09">
        <w:rPr>
          <w:b/>
          <w:bCs/>
          <w:color w:val="7030A0"/>
          <w:sz w:val="36"/>
          <w:szCs w:val="36"/>
        </w:rPr>
        <w:t xml:space="preserve"> Service</w:t>
      </w:r>
      <w:r w:rsidR="00847026">
        <w:rPr>
          <w:b/>
          <w:bCs/>
          <w:color w:val="7030A0"/>
          <w:sz w:val="36"/>
          <w:szCs w:val="36"/>
        </w:rPr>
        <w:t xml:space="preserve"> Provider</w:t>
      </w:r>
    </w:p>
    <w:p w14:paraId="28C58FE9" w14:textId="77777777" w:rsidR="009F00D8" w:rsidRDefault="009F00D8">
      <w:pPr>
        <w:rPr>
          <w:b/>
          <w:bCs/>
          <w:sz w:val="28"/>
          <w:szCs w:val="28"/>
        </w:rPr>
      </w:pPr>
    </w:p>
    <w:p w14:paraId="5AD46561" w14:textId="0D4BC565" w:rsidR="00D4367F" w:rsidRPr="00C62F09" w:rsidRDefault="00D4367F" w:rsidP="00D4367F">
      <w:pPr>
        <w:jc w:val="both"/>
      </w:pPr>
      <w:r w:rsidRPr="00C62F09">
        <w:t>The International Planned Parenthood Federation – South Asia Region</w:t>
      </w:r>
      <w:r w:rsidR="00375FB3">
        <w:t>al Office</w:t>
      </w:r>
      <w:r w:rsidRPr="00C62F09">
        <w:t xml:space="preserve"> (IPPF-SARO) is seeking expert assistance in</w:t>
      </w:r>
      <w:r w:rsidR="00F9796F">
        <w:t xml:space="preserve"> </w:t>
      </w:r>
      <w:r w:rsidR="008047B0">
        <w:t xml:space="preserve">taxi </w:t>
      </w:r>
      <w:r w:rsidRPr="00C62F09">
        <w:t xml:space="preserve">travel services. </w:t>
      </w:r>
    </w:p>
    <w:p w14:paraId="7EB5B8AF" w14:textId="77777777" w:rsidR="00D4367F" w:rsidRPr="00C62F09" w:rsidRDefault="00D4367F" w:rsidP="00D4367F">
      <w:pPr>
        <w:jc w:val="both"/>
      </w:pPr>
    </w:p>
    <w:p w14:paraId="77CFA4CD" w14:textId="78CD5BBA" w:rsidR="00D4367F" w:rsidRPr="00375FB3" w:rsidRDefault="00D4367F" w:rsidP="00375FB3">
      <w:pPr>
        <w:jc w:val="both"/>
      </w:pPr>
      <w:r w:rsidRPr="00C62F09">
        <w:t xml:space="preserve">Quotes should be prepared in accordance with the annexes and submitted to IPPF-SARO until </w:t>
      </w:r>
      <w:r w:rsidR="006C678E">
        <w:t>8th Februa</w:t>
      </w:r>
      <w:r w:rsidR="00F90064">
        <w:t>ry</w:t>
      </w:r>
      <w:r w:rsidRPr="00C62F09">
        <w:t xml:space="preserve"> 2025, in writing by e-mail to </w:t>
      </w:r>
      <w:hyperlink r:id="rId5" w:history="1">
        <w:r w:rsidRPr="00C62F09">
          <w:rPr>
            <w:rStyle w:val="Hyperlink"/>
          </w:rPr>
          <w:t>procurement@ippf.org</w:t>
        </w:r>
      </w:hyperlink>
      <w:r w:rsidRPr="00C62F09">
        <w:t xml:space="preserve">, stating in the subject: </w:t>
      </w:r>
      <w:r w:rsidRPr="00C62F09">
        <w:rPr>
          <w:b/>
          <w:bCs/>
        </w:rPr>
        <w:t>“Request for Quotation, IPPF-SARO-RfQ-2025-0</w:t>
      </w:r>
      <w:r w:rsidR="00F90064">
        <w:rPr>
          <w:b/>
          <w:bCs/>
        </w:rPr>
        <w:t>2</w:t>
      </w:r>
      <w:r w:rsidRPr="00C62F09">
        <w:rPr>
          <w:b/>
          <w:bCs/>
        </w:rPr>
        <w:t>”.</w:t>
      </w:r>
    </w:p>
    <w:p w14:paraId="5BDA3A68" w14:textId="72742D95" w:rsidR="00D4367F" w:rsidRDefault="00D4367F" w:rsidP="00D4367F">
      <w:pPr>
        <w:jc w:val="both"/>
      </w:pPr>
      <w:r w:rsidRPr="00C62F09">
        <w:t xml:space="preserve">Quotes which do not fulfil these specifications may be disqualified from review.  </w:t>
      </w:r>
    </w:p>
    <w:p w14:paraId="48748778" w14:textId="77777777" w:rsidR="00C62F09" w:rsidRPr="00C62F09" w:rsidRDefault="00C62F09" w:rsidP="00D4367F">
      <w:pPr>
        <w:jc w:val="both"/>
      </w:pPr>
    </w:p>
    <w:p w14:paraId="698AFF2D" w14:textId="5B74C7CC" w:rsidR="00D4367F" w:rsidRPr="00C62F09" w:rsidRDefault="00D4367F" w:rsidP="00D4367F">
      <w:pPr>
        <w:pBdr>
          <w:bottom w:val="single" w:sz="12" w:space="1" w:color="auto"/>
        </w:pBdr>
        <w:jc w:val="both"/>
      </w:pPr>
      <w:r w:rsidRPr="00C62F09">
        <w:t xml:space="preserve">IPPF-South Asia Regional Office  </w:t>
      </w:r>
    </w:p>
    <w:p w14:paraId="02D91DB4" w14:textId="2FE673AA" w:rsidR="005E7CBB" w:rsidRPr="00C62F09" w:rsidRDefault="005E7CBB" w:rsidP="00C62F09">
      <w:pPr>
        <w:spacing w:after="0"/>
        <w:jc w:val="both"/>
        <w:rPr>
          <w:b/>
          <w:bCs/>
        </w:rPr>
      </w:pPr>
      <w:r w:rsidRPr="00C62F09">
        <w:rPr>
          <w:b/>
          <w:bCs/>
        </w:rPr>
        <w:t>Annexes:</w:t>
      </w:r>
    </w:p>
    <w:p w14:paraId="03377766" w14:textId="77777777" w:rsidR="005E7CBB" w:rsidRPr="00C62F09" w:rsidRDefault="005E7CBB" w:rsidP="00C62F09">
      <w:pPr>
        <w:spacing w:after="0"/>
        <w:jc w:val="both"/>
      </w:pPr>
      <w:r w:rsidRPr="00C62F09">
        <w:t xml:space="preserve">Annex 1 – Information about the Procurement Process  </w:t>
      </w:r>
    </w:p>
    <w:p w14:paraId="320E9248" w14:textId="36F01FB1" w:rsidR="00D4367F" w:rsidRPr="00C62F09" w:rsidRDefault="005E7CBB" w:rsidP="00C62F09">
      <w:pPr>
        <w:spacing w:after="0"/>
        <w:jc w:val="both"/>
      </w:pPr>
      <w:r w:rsidRPr="00C62F09">
        <w:t>Annex 2 – Terms of Reference (</w:t>
      </w:r>
      <w:proofErr w:type="spellStart"/>
      <w:r w:rsidRPr="00C62F09">
        <w:t>ToR</w:t>
      </w:r>
      <w:proofErr w:type="spellEnd"/>
      <w:r w:rsidR="00C62F09">
        <w:t>)</w:t>
      </w:r>
    </w:p>
    <w:p w14:paraId="71107BF1" w14:textId="77777777" w:rsidR="00D4367F" w:rsidRDefault="00D4367F" w:rsidP="00D4367F">
      <w:pPr>
        <w:jc w:val="both"/>
        <w:rPr>
          <w:sz w:val="28"/>
          <w:szCs w:val="28"/>
        </w:rPr>
      </w:pPr>
    </w:p>
    <w:p w14:paraId="5F6B7EF3" w14:textId="77777777" w:rsidR="005E7CBB" w:rsidRDefault="005E7CBB">
      <w:pPr>
        <w:rPr>
          <w:sz w:val="28"/>
          <w:szCs w:val="28"/>
        </w:rPr>
      </w:pPr>
      <w:r>
        <w:rPr>
          <w:sz w:val="28"/>
          <w:szCs w:val="28"/>
        </w:rPr>
        <w:br w:type="page"/>
      </w:r>
    </w:p>
    <w:p w14:paraId="2D8EFCB0" w14:textId="77777777" w:rsidR="005E7CBB" w:rsidRDefault="005E7CBB" w:rsidP="00E1251B">
      <w:pPr>
        <w:spacing w:after="0"/>
        <w:jc w:val="both"/>
        <w:rPr>
          <w:sz w:val="28"/>
          <w:szCs w:val="28"/>
        </w:rPr>
      </w:pPr>
      <w:r>
        <w:rPr>
          <w:sz w:val="28"/>
          <w:szCs w:val="28"/>
        </w:rPr>
        <w:lastRenderedPageBreak/>
        <w:t>Annex 1</w:t>
      </w:r>
    </w:p>
    <w:p w14:paraId="0456D4A9" w14:textId="76BADF2C" w:rsidR="005E7CBB" w:rsidRPr="005E7CBB" w:rsidRDefault="005E7CBB" w:rsidP="00E1251B">
      <w:pPr>
        <w:spacing w:after="0"/>
        <w:jc w:val="both"/>
        <w:rPr>
          <w:sz w:val="28"/>
          <w:szCs w:val="28"/>
        </w:rPr>
      </w:pPr>
      <w:r w:rsidRPr="005E7CBB">
        <w:rPr>
          <w:sz w:val="28"/>
          <w:szCs w:val="28"/>
        </w:rPr>
        <w:t xml:space="preserve">to </w:t>
      </w:r>
      <w:r w:rsidRPr="005E7CBB">
        <w:rPr>
          <w:sz w:val="24"/>
          <w:szCs w:val="24"/>
        </w:rPr>
        <w:t>Request for Quotation, IPPF-SARO-RfQ-2025-0</w:t>
      </w:r>
      <w:r w:rsidR="000D597F">
        <w:rPr>
          <w:sz w:val="24"/>
          <w:szCs w:val="24"/>
        </w:rPr>
        <w:t>2</w:t>
      </w:r>
    </w:p>
    <w:p w14:paraId="4CBB8E79" w14:textId="77777777" w:rsidR="00E274E1" w:rsidRDefault="00E274E1" w:rsidP="00E1251B">
      <w:pPr>
        <w:spacing w:after="0"/>
        <w:jc w:val="both"/>
        <w:rPr>
          <w:sz w:val="28"/>
          <w:szCs w:val="28"/>
        </w:rPr>
      </w:pPr>
    </w:p>
    <w:p w14:paraId="6212B5C7" w14:textId="2AC46DF8" w:rsidR="005E7CBB" w:rsidRPr="00E1251B" w:rsidRDefault="005E7CBB" w:rsidP="00E1251B">
      <w:pPr>
        <w:spacing w:after="0"/>
        <w:jc w:val="both"/>
        <w:rPr>
          <w:b/>
          <w:bCs/>
          <w:color w:val="7030A0"/>
          <w:sz w:val="32"/>
          <w:szCs w:val="32"/>
        </w:rPr>
      </w:pPr>
      <w:r w:rsidRPr="00E1251B">
        <w:rPr>
          <w:b/>
          <w:bCs/>
          <w:color w:val="7030A0"/>
          <w:sz w:val="32"/>
          <w:szCs w:val="32"/>
        </w:rPr>
        <w:t xml:space="preserve">IPPF-SARO Procurement Activities  </w:t>
      </w:r>
    </w:p>
    <w:p w14:paraId="0D96D822" w14:textId="78E68D22" w:rsidR="005E7CBB" w:rsidRDefault="005E7CBB" w:rsidP="00E274E1">
      <w:pPr>
        <w:spacing w:after="0"/>
        <w:jc w:val="both"/>
        <w:rPr>
          <w:b/>
          <w:bCs/>
          <w:color w:val="7030A0"/>
          <w:sz w:val="32"/>
          <w:szCs w:val="32"/>
        </w:rPr>
      </w:pPr>
      <w:r w:rsidRPr="00E1251B">
        <w:rPr>
          <w:b/>
          <w:bCs/>
          <w:color w:val="7030A0"/>
          <w:sz w:val="32"/>
          <w:szCs w:val="32"/>
        </w:rPr>
        <w:t>GENERAL INFORMATION FOR POTENTIAL SUPPLIERS</w:t>
      </w:r>
    </w:p>
    <w:p w14:paraId="72A55178" w14:textId="77777777" w:rsidR="00E274E1" w:rsidRPr="00E274E1" w:rsidRDefault="00E274E1" w:rsidP="00E274E1">
      <w:pPr>
        <w:spacing w:after="0"/>
        <w:jc w:val="both"/>
        <w:rPr>
          <w:b/>
          <w:bCs/>
          <w:color w:val="7030A0"/>
          <w:sz w:val="32"/>
          <w:szCs w:val="32"/>
        </w:rPr>
      </w:pPr>
    </w:p>
    <w:p w14:paraId="02ADBB0E" w14:textId="19DDB060" w:rsidR="005E7CBB" w:rsidRPr="00E1251B" w:rsidRDefault="005E7CBB" w:rsidP="00E1251B">
      <w:pPr>
        <w:pStyle w:val="ListParagraph"/>
        <w:numPr>
          <w:ilvl w:val="0"/>
          <w:numId w:val="12"/>
        </w:numPr>
        <w:ind w:left="426" w:hanging="426"/>
        <w:jc w:val="both"/>
        <w:rPr>
          <w:b/>
          <w:bCs/>
        </w:rPr>
      </w:pPr>
      <w:r w:rsidRPr="00E1251B">
        <w:rPr>
          <w:b/>
          <w:bCs/>
        </w:rPr>
        <w:t xml:space="preserve">About </w:t>
      </w:r>
      <w:r w:rsidR="00375FB3">
        <w:rPr>
          <w:b/>
          <w:bCs/>
        </w:rPr>
        <w:t xml:space="preserve">the International Planned Parenthood Federation (IPPF) </w:t>
      </w:r>
    </w:p>
    <w:p w14:paraId="29FCFE81" w14:textId="7BFBFFF2" w:rsidR="00D4367F" w:rsidRPr="00E1251B" w:rsidRDefault="009F00D8" w:rsidP="00E1251B">
      <w:pPr>
        <w:jc w:val="both"/>
        <w:rPr>
          <w:sz w:val="20"/>
          <w:szCs w:val="20"/>
        </w:rPr>
      </w:pPr>
      <w:r w:rsidRPr="00E1251B">
        <w:rPr>
          <w:sz w:val="20"/>
          <w:szCs w:val="20"/>
        </w:rPr>
        <w:t xml:space="preserve">The International Planned Parenthood Federation </w:t>
      </w:r>
      <w:r w:rsidR="00D4367F" w:rsidRPr="00E1251B">
        <w:rPr>
          <w:sz w:val="20"/>
          <w:szCs w:val="20"/>
        </w:rPr>
        <w:t xml:space="preserve">(IPPF) is a </w:t>
      </w:r>
      <w:proofErr w:type="gramStart"/>
      <w:r w:rsidR="00D4367F" w:rsidRPr="00E1251B">
        <w:rPr>
          <w:sz w:val="20"/>
          <w:szCs w:val="20"/>
        </w:rPr>
        <w:t>locally-owned</w:t>
      </w:r>
      <w:proofErr w:type="gramEnd"/>
      <w:r w:rsidR="00D4367F" w:rsidRPr="00E1251B">
        <w:rPr>
          <w:sz w:val="20"/>
          <w:szCs w:val="20"/>
        </w:rPr>
        <w:t xml:space="preserve">, globally connected civil society movement. We work to ensure people are free to make choices about their sexuality and well-being in a world free from discrimination. </w:t>
      </w:r>
    </w:p>
    <w:p w14:paraId="7C466109" w14:textId="2EDD08E5" w:rsidR="00D4367F" w:rsidRPr="00E1251B" w:rsidRDefault="00D4367F" w:rsidP="00E1251B">
      <w:pPr>
        <w:jc w:val="both"/>
        <w:rPr>
          <w:sz w:val="20"/>
          <w:szCs w:val="20"/>
        </w:rPr>
      </w:pPr>
      <w:r w:rsidRPr="00E1251B">
        <w:rPr>
          <w:sz w:val="20"/>
          <w:szCs w:val="20"/>
        </w:rPr>
        <w:t>IPPF is committed to a world where everyone realizes their sexual and reproductive health and rights and has control over their own bodies, lives, and futures. IPPF South Asia Regional Office (SARO) is one of the six regional networks of the International Planned Parenthood Federation. The staff at SARO is based in New Delhi, India. In the region, we work in South Asian countries through the Member Associations (MA) -- IPPF accredited organizations-- and collaborative partners.</w:t>
      </w:r>
    </w:p>
    <w:p w14:paraId="716DC8E0" w14:textId="66A44A71" w:rsidR="005E7CBB" w:rsidRPr="00E1251B" w:rsidRDefault="005E7CBB" w:rsidP="00E1251B">
      <w:pPr>
        <w:pStyle w:val="ListParagraph"/>
        <w:numPr>
          <w:ilvl w:val="0"/>
          <w:numId w:val="12"/>
        </w:numPr>
        <w:ind w:left="426" w:hanging="426"/>
        <w:jc w:val="both"/>
        <w:rPr>
          <w:b/>
          <w:bCs/>
        </w:rPr>
      </w:pPr>
      <w:r w:rsidRPr="00E1251B">
        <w:rPr>
          <w:b/>
          <w:bCs/>
        </w:rPr>
        <w:t xml:space="preserve">Procurement Principles </w:t>
      </w:r>
    </w:p>
    <w:p w14:paraId="64E92646" w14:textId="77777777" w:rsidR="005E7CBB" w:rsidRPr="00E1251B" w:rsidRDefault="005E7CBB" w:rsidP="00E1251B">
      <w:pPr>
        <w:spacing w:after="0"/>
        <w:jc w:val="both"/>
        <w:rPr>
          <w:sz w:val="20"/>
          <w:szCs w:val="20"/>
        </w:rPr>
      </w:pPr>
      <w:r w:rsidRPr="00E1251B">
        <w:rPr>
          <w:sz w:val="20"/>
          <w:szCs w:val="20"/>
        </w:rPr>
        <w:t xml:space="preserve">The following are the principles applied to procurement at IPPF: </w:t>
      </w:r>
    </w:p>
    <w:p w14:paraId="5F6E38D3" w14:textId="0742E4FD" w:rsidR="005E7CBB" w:rsidRPr="00E1251B" w:rsidRDefault="005E7CBB" w:rsidP="00E1251B">
      <w:pPr>
        <w:pStyle w:val="ListParagraph"/>
        <w:numPr>
          <w:ilvl w:val="0"/>
          <w:numId w:val="10"/>
        </w:numPr>
        <w:spacing w:after="0"/>
        <w:jc w:val="both"/>
        <w:rPr>
          <w:sz w:val="20"/>
          <w:szCs w:val="20"/>
        </w:rPr>
      </w:pPr>
      <w:r w:rsidRPr="00E1251B">
        <w:rPr>
          <w:sz w:val="20"/>
          <w:szCs w:val="20"/>
        </w:rPr>
        <w:t>Value for Money - optimizing quality, economy, and efficiency.</w:t>
      </w:r>
    </w:p>
    <w:p w14:paraId="2286D7FC" w14:textId="6133C34F" w:rsidR="005E7CBB" w:rsidRPr="00E1251B" w:rsidRDefault="005E7CBB" w:rsidP="00E1251B">
      <w:pPr>
        <w:pStyle w:val="ListParagraph"/>
        <w:numPr>
          <w:ilvl w:val="0"/>
          <w:numId w:val="10"/>
        </w:numPr>
        <w:spacing w:after="0"/>
        <w:jc w:val="both"/>
        <w:rPr>
          <w:sz w:val="20"/>
          <w:szCs w:val="20"/>
        </w:rPr>
      </w:pPr>
      <w:r w:rsidRPr="00E1251B">
        <w:rPr>
          <w:sz w:val="20"/>
          <w:szCs w:val="20"/>
        </w:rPr>
        <w:t>Fair and open competition, as per predetermined threshold levels.</w:t>
      </w:r>
    </w:p>
    <w:p w14:paraId="111EA2DF" w14:textId="01368640" w:rsidR="005E7CBB" w:rsidRPr="00E1251B" w:rsidRDefault="005E7CBB" w:rsidP="00E1251B">
      <w:pPr>
        <w:pStyle w:val="ListParagraph"/>
        <w:numPr>
          <w:ilvl w:val="0"/>
          <w:numId w:val="10"/>
        </w:numPr>
        <w:spacing w:after="0"/>
        <w:jc w:val="both"/>
        <w:rPr>
          <w:sz w:val="20"/>
          <w:szCs w:val="20"/>
        </w:rPr>
      </w:pPr>
      <w:r w:rsidRPr="00E1251B">
        <w:rPr>
          <w:sz w:val="20"/>
          <w:szCs w:val="20"/>
        </w:rPr>
        <w:t>Ethical conduct and anti-corruption measures, fostering a culture of integrity.</w:t>
      </w:r>
    </w:p>
    <w:p w14:paraId="5F5B1256" w14:textId="4537EE0F" w:rsidR="005E7CBB" w:rsidRPr="00E1251B" w:rsidRDefault="005E7CBB" w:rsidP="00E1251B">
      <w:pPr>
        <w:pStyle w:val="ListParagraph"/>
        <w:numPr>
          <w:ilvl w:val="0"/>
          <w:numId w:val="10"/>
        </w:numPr>
        <w:spacing w:after="0"/>
        <w:jc w:val="both"/>
        <w:rPr>
          <w:sz w:val="20"/>
          <w:szCs w:val="20"/>
        </w:rPr>
      </w:pPr>
      <w:r w:rsidRPr="00E1251B">
        <w:rPr>
          <w:sz w:val="20"/>
          <w:szCs w:val="20"/>
        </w:rPr>
        <w:t>Ensure adequate internal controls whilst undertaking any procurement.</w:t>
      </w:r>
    </w:p>
    <w:p w14:paraId="43DB5877" w14:textId="20DCBA8E" w:rsidR="005E7CBB" w:rsidRPr="00E1251B" w:rsidRDefault="005E7CBB" w:rsidP="00E1251B">
      <w:pPr>
        <w:pStyle w:val="ListParagraph"/>
        <w:numPr>
          <w:ilvl w:val="0"/>
          <w:numId w:val="10"/>
        </w:numPr>
        <w:spacing w:after="0"/>
        <w:jc w:val="both"/>
        <w:rPr>
          <w:sz w:val="20"/>
          <w:szCs w:val="20"/>
        </w:rPr>
      </w:pPr>
      <w:r w:rsidRPr="00E1251B">
        <w:rPr>
          <w:sz w:val="20"/>
          <w:szCs w:val="20"/>
        </w:rPr>
        <w:t xml:space="preserve">Proportionality of process in line with the risk and value of spend. </w:t>
      </w:r>
    </w:p>
    <w:p w14:paraId="281A13B3" w14:textId="77777777" w:rsidR="005E7CBB" w:rsidRPr="00E1251B" w:rsidRDefault="005E7CBB" w:rsidP="00E1251B">
      <w:pPr>
        <w:pStyle w:val="ListParagraph"/>
        <w:numPr>
          <w:ilvl w:val="0"/>
          <w:numId w:val="10"/>
        </w:numPr>
        <w:spacing w:after="0"/>
        <w:jc w:val="both"/>
        <w:rPr>
          <w:sz w:val="20"/>
          <w:szCs w:val="20"/>
        </w:rPr>
      </w:pPr>
      <w:r w:rsidRPr="00E1251B">
        <w:rPr>
          <w:sz w:val="20"/>
          <w:szCs w:val="20"/>
        </w:rPr>
        <w:t xml:space="preserve">Promote and prefer to procure services and goods from suppliers working and committed to comply with environmentally responsible practices, such as minimizing waste, reducing carbon footprint, and adhering to sustainable sourcing and production methods. </w:t>
      </w:r>
    </w:p>
    <w:p w14:paraId="20B89EC4" w14:textId="77777777" w:rsidR="005E7CBB" w:rsidRPr="00E1251B" w:rsidRDefault="005E7CBB" w:rsidP="00E1251B">
      <w:pPr>
        <w:spacing w:after="0"/>
        <w:jc w:val="both"/>
      </w:pPr>
    </w:p>
    <w:p w14:paraId="011DA5A8" w14:textId="77777777" w:rsidR="00E1251B" w:rsidRDefault="00FD1C44" w:rsidP="00E1251B">
      <w:pPr>
        <w:pStyle w:val="ListParagraph"/>
        <w:numPr>
          <w:ilvl w:val="0"/>
          <w:numId w:val="12"/>
        </w:numPr>
        <w:ind w:left="426" w:hanging="426"/>
        <w:jc w:val="both"/>
        <w:rPr>
          <w:b/>
          <w:bCs/>
        </w:rPr>
      </w:pPr>
      <w:r w:rsidRPr="00E1251B">
        <w:rPr>
          <w:b/>
          <w:bCs/>
        </w:rPr>
        <w:t>Requesting Offers</w:t>
      </w:r>
    </w:p>
    <w:p w14:paraId="49211771" w14:textId="5C477511" w:rsidR="00E1251B" w:rsidRPr="00E1251B" w:rsidRDefault="002A5768" w:rsidP="00E1251B">
      <w:pPr>
        <w:pStyle w:val="ListParagraph"/>
        <w:numPr>
          <w:ilvl w:val="1"/>
          <w:numId w:val="13"/>
        </w:numPr>
        <w:ind w:left="426" w:hanging="426"/>
        <w:jc w:val="both"/>
        <w:rPr>
          <w:b/>
          <w:bCs/>
          <w:sz w:val="20"/>
          <w:szCs w:val="20"/>
        </w:rPr>
      </w:pPr>
      <w:r w:rsidRPr="00E1251B">
        <w:rPr>
          <w:sz w:val="20"/>
          <w:szCs w:val="20"/>
        </w:rPr>
        <w:t>IPPF-SARO uses various channels to notify potential suppliers about its procurement activities including reaching out directly, the IPPF website (</w:t>
      </w:r>
      <w:hyperlink r:id="rId6" w:history="1">
        <w:r w:rsidRPr="00E1251B">
          <w:rPr>
            <w:rStyle w:val="Hyperlink"/>
            <w:sz w:val="20"/>
            <w:szCs w:val="20"/>
          </w:rPr>
          <w:t>www.sar.ippf.org</w:t>
        </w:r>
      </w:hyperlink>
      <w:r w:rsidRPr="00E1251B">
        <w:rPr>
          <w:sz w:val="20"/>
          <w:szCs w:val="20"/>
        </w:rPr>
        <w:t xml:space="preserve">), and </w:t>
      </w:r>
      <w:hyperlink r:id="rId7" w:history="1">
        <w:r w:rsidRPr="00375FB3">
          <w:rPr>
            <w:rStyle w:val="Hyperlink"/>
            <w:sz w:val="20"/>
            <w:szCs w:val="20"/>
          </w:rPr>
          <w:t>LinkedIn</w:t>
        </w:r>
      </w:hyperlink>
      <w:r w:rsidRPr="00E1251B">
        <w:rPr>
          <w:sz w:val="20"/>
          <w:szCs w:val="20"/>
        </w:rPr>
        <w:t>.</w:t>
      </w:r>
    </w:p>
    <w:p w14:paraId="1C7551C2" w14:textId="77777777" w:rsidR="00E1251B" w:rsidRPr="00E1251B" w:rsidRDefault="002A5768" w:rsidP="00E1251B">
      <w:pPr>
        <w:pStyle w:val="ListParagraph"/>
        <w:numPr>
          <w:ilvl w:val="1"/>
          <w:numId w:val="13"/>
        </w:numPr>
        <w:ind w:left="426" w:hanging="426"/>
        <w:jc w:val="both"/>
        <w:rPr>
          <w:b/>
          <w:bCs/>
          <w:sz w:val="20"/>
          <w:szCs w:val="20"/>
        </w:rPr>
      </w:pPr>
      <w:r w:rsidRPr="00E1251B">
        <w:rPr>
          <w:sz w:val="20"/>
          <w:szCs w:val="20"/>
        </w:rPr>
        <w:t xml:space="preserve">Notifications made by IPPF-SARO shall strive to provide sufficient information to enable potential suppliers to submit their offers and shall explain which information offers shall include. </w:t>
      </w:r>
    </w:p>
    <w:p w14:paraId="57BFCA7B" w14:textId="77777777" w:rsidR="00E1251B" w:rsidRPr="00E1251B" w:rsidRDefault="00C96F88" w:rsidP="00E1251B">
      <w:pPr>
        <w:pStyle w:val="ListParagraph"/>
        <w:numPr>
          <w:ilvl w:val="1"/>
          <w:numId w:val="13"/>
        </w:numPr>
        <w:ind w:left="426" w:hanging="426"/>
        <w:jc w:val="both"/>
        <w:rPr>
          <w:b/>
          <w:bCs/>
          <w:sz w:val="20"/>
          <w:szCs w:val="20"/>
        </w:rPr>
      </w:pPr>
      <w:r w:rsidRPr="00E1251B">
        <w:rPr>
          <w:sz w:val="20"/>
          <w:szCs w:val="20"/>
        </w:rPr>
        <w:t xml:space="preserve">As per the procurement manual of IPPF </w:t>
      </w:r>
      <w:r w:rsidR="00794D91" w:rsidRPr="00E1251B">
        <w:rPr>
          <w:sz w:val="20"/>
          <w:szCs w:val="20"/>
        </w:rPr>
        <w:t>a</w:t>
      </w:r>
      <w:r w:rsidRPr="00E1251B">
        <w:rPr>
          <w:sz w:val="20"/>
          <w:szCs w:val="20"/>
        </w:rPr>
        <w:t xml:space="preserve"> preferred supplier is a supplier who is prequalified as our “go to” supplier for a particular spend category. </w:t>
      </w:r>
      <w:r w:rsidR="00794D91" w:rsidRPr="00E1251B">
        <w:rPr>
          <w:sz w:val="20"/>
          <w:szCs w:val="20"/>
        </w:rPr>
        <w:t>They are selected through a competitive or waiver process to become a preferred supplier and are classified as such for a specified period after which a review is must.</w:t>
      </w:r>
    </w:p>
    <w:p w14:paraId="559A3C91" w14:textId="025663FD" w:rsidR="00FD1C44" w:rsidRPr="00E1251B" w:rsidRDefault="002A5768" w:rsidP="00E1251B">
      <w:pPr>
        <w:pStyle w:val="ListParagraph"/>
        <w:numPr>
          <w:ilvl w:val="1"/>
          <w:numId w:val="13"/>
        </w:numPr>
        <w:ind w:left="426" w:hanging="426"/>
        <w:jc w:val="both"/>
        <w:rPr>
          <w:b/>
          <w:bCs/>
        </w:rPr>
      </w:pPr>
      <w:r w:rsidRPr="00E1251B">
        <w:rPr>
          <w:sz w:val="20"/>
          <w:szCs w:val="20"/>
        </w:rPr>
        <w:t>Any subsequent updates following the original notification will be provided by IPPF-SARO using the same channel(s) in which the original notification was made.</w:t>
      </w:r>
    </w:p>
    <w:p w14:paraId="455714B7" w14:textId="77777777" w:rsidR="002A5768" w:rsidRPr="00E1251B" w:rsidRDefault="002A5768" w:rsidP="00E1251B">
      <w:pPr>
        <w:spacing w:after="0"/>
        <w:jc w:val="both"/>
      </w:pPr>
    </w:p>
    <w:p w14:paraId="740A1739" w14:textId="1605A990" w:rsidR="00FD1C44" w:rsidRPr="00E1251B" w:rsidRDefault="00FD1C44" w:rsidP="00E1251B">
      <w:pPr>
        <w:pStyle w:val="ListParagraph"/>
        <w:numPr>
          <w:ilvl w:val="0"/>
          <w:numId w:val="12"/>
        </w:numPr>
        <w:ind w:left="426" w:hanging="426"/>
        <w:jc w:val="both"/>
        <w:rPr>
          <w:b/>
          <w:bCs/>
        </w:rPr>
      </w:pPr>
      <w:r w:rsidRPr="00E1251B">
        <w:rPr>
          <w:b/>
          <w:bCs/>
        </w:rPr>
        <w:t xml:space="preserve">Deadlines for Receiving Offers  </w:t>
      </w:r>
    </w:p>
    <w:p w14:paraId="132F303F" w14:textId="46BD9C52" w:rsidR="00FD1C44" w:rsidRPr="00E1251B" w:rsidRDefault="00FD1C44" w:rsidP="00E1251B">
      <w:pPr>
        <w:spacing w:after="0"/>
        <w:jc w:val="both"/>
        <w:rPr>
          <w:sz w:val="20"/>
          <w:szCs w:val="20"/>
        </w:rPr>
      </w:pPr>
      <w:r w:rsidRPr="00E1251B">
        <w:rPr>
          <w:sz w:val="20"/>
          <w:szCs w:val="20"/>
        </w:rPr>
        <w:t>IPPF-SARO specifies the deadline for submission when requesting offers. IPPF-SARO reserves the right to extend any deadlines whereby all potential suppliers must be notified of any extensions using the same channel(s) in which the original notification was made.</w:t>
      </w:r>
    </w:p>
    <w:p w14:paraId="072790B2" w14:textId="77777777" w:rsidR="00FD1C44" w:rsidRDefault="00FD1C44" w:rsidP="00E1251B">
      <w:pPr>
        <w:spacing w:after="0"/>
        <w:jc w:val="both"/>
      </w:pPr>
    </w:p>
    <w:p w14:paraId="7D7A5E06" w14:textId="77777777" w:rsidR="004611F7" w:rsidRDefault="004611F7" w:rsidP="00E1251B">
      <w:pPr>
        <w:spacing w:after="0"/>
        <w:jc w:val="both"/>
      </w:pPr>
    </w:p>
    <w:p w14:paraId="560F4EB6" w14:textId="77777777" w:rsidR="008072A4" w:rsidRPr="00E1251B" w:rsidRDefault="008072A4" w:rsidP="00E1251B">
      <w:pPr>
        <w:spacing w:after="0"/>
        <w:jc w:val="both"/>
      </w:pPr>
    </w:p>
    <w:p w14:paraId="7F890BE4" w14:textId="569FE659" w:rsidR="00FD1C44" w:rsidRPr="00E1251B" w:rsidRDefault="00FD1C44" w:rsidP="00E1251B">
      <w:pPr>
        <w:pStyle w:val="ListParagraph"/>
        <w:numPr>
          <w:ilvl w:val="0"/>
          <w:numId w:val="12"/>
        </w:numPr>
        <w:ind w:left="426" w:hanging="426"/>
        <w:jc w:val="both"/>
        <w:rPr>
          <w:b/>
          <w:bCs/>
        </w:rPr>
      </w:pPr>
      <w:r w:rsidRPr="00E1251B">
        <w:rPr>
          <w:b/>
          <w:bCs/>
        </w:rPr>
        <w:lastRenderedPageBreak/>
        <w:t>Conflict of Interest</w:t>
      </w:r>
    </w:p>
    <w:p w14:paraId="1C2A86A4" w14:textId="33AB3A01" w:rsidR="00FD1C44" w:rsidRPr="00E1251B" w:rsidRDefault="00FD1C44" w:rsidP="00E1251B">
      <w:pPr>
        <w:spacing w:after="0"/>
        <w:jc w:val="both"/>
        <w:rPr>
          <w:sz w:val="20"/>
          <w:szCs w:val="20"/>
        </w:rPr>
      </w:pPr>
      <w:r w:rsidRPr="00E1251B">
        <w:rPr>
          <w:sz w:val="20"/>
          <w:szCs w:val="20"/>
        </w:rPr>
        <w:t>Potential suppliers must declare any conflict of interest to IPPF-SARO prior to submitting any offers.</w:t>
      </w:r>
    </w:p>
    <w:p w14:paraId="1D9A4BDE" w14:textId="77777777" w:rsidR="00FD1C44" w:rsidRPr="00E1251B" w:rsidRDefault="00FD1C44" w:rsidP="00E1251B">
      <w:pPr>
        <w:spacing w:after="0"/>
        <w:jc w:val="both"/>
      </w:pPr>
    </w:p>
    <w:p w14:paraId="4092DF10" w14:textId="6AAB742F" w:rsidR="00FD1C44" w:rsidRPr="00E1251B" w:rsidRDefault="00FD1C44" w:rsidP="00E1251B">
      <w:pPr>
        <w:pStyle w:val="ListParagraph"/>
        <w:numPr>
          <w:ilvl w:val="0"/>
          <w:numId w:val="12"/>
        </w:numPr>
        <w:ind w:left="426" w:hanging="426"/>
        <w:jc w:val="both"/>
        <w:rPr>
          <w:b/>
          <w:bCs/>
        </w:rPr>
      </w:pPr>
      <w:r w:rsidRPr="00E1251B">
        <w:rPr>
          <w:b/>
          <w:bCs/>
        </w:rPr>
        <w:t>Submission of Offers</w:t>
      </w:r>
    </w:p>
    <w:p w14:paraId="6C5A5E4D" w14:textId="0503620A" w:rsidR="00FD1C44" w:rsidRPr="00E1251B" w:rsidRDefault="00FD1C44" w:rsidP="00E1251B">
      <w:pPr>
        <w:spacing w:after="0"/>
        <w:jc w:val="both"/>
        <w:rPr>
          <w:sz w:val="20"/>
          <w:szCs w:val="20"/>
        </w:rPr>
      </w:pPr>
      <w:r w:rsidRPr="00E1251B">
        <w:rPr>
          <w:sz w:val="20"/>
          <w:szCs w:val="20"/>
        </w:rPr>
        <w:t>Offers must be submitted to IPPF-SARO in writing through e-mail to the dedicated e-mail address.</w:t>
      </w:r>
    </w:p>
    <w:p w14:paraId="156098C8" w14:textId="77777777" w:rsidR="00FD1C44" w:rsidRPr="00E1251B" w:rsidRDefault="00FD1C44" w:rsidP="00E1251B">
      <w:pPr>
        <w:spacing w:after="0"/>
        <w:jc w:val="both"/>
      </w:pPr>
    </w:p>
    <w:p w14:paraId="6DABDBA3" w14:textId="7F4C4B9B" w:rsidR="00FD1C44" w:rsidRPr="00E1251B" w:rsidRDefault="00FD1C44" w:rsidP="00E1251B">
      <w:pPr>
        <w:pStyle w:val="ListParagraph"/>
        <w:numPr>
          <w:ilvl w:val="0"/>
          <w:numId w:val="12"/>
        </w:numPr>
        <w:ind w:left="426" w:hanging="426"/>
        <w:jc w:val="both"/>
        <w:rPr>
          <w:b/>
          <w:bCs/>
        </w:rPr>
      </w:pPr>
      <w:r w:rsidRPr="00E1251B">
        <w:rPr>
          <w:b/>
          <w:bCs/>
        </w:rPr>
        <w:t>Communication with IPPF-SARO</w:t>
      </w:r>
    </w:p>
    <w:p w14:paraId="51493117" w14:textId="60A3F03B" w:rsidR="00FD1C44" w:rsidRPr="00E1251B" w:rsidRDefault="00FD1C44" w:rsidP="00E1251B">
      <w:pPr>
        <w:spacing w:after="0"/>
        <w:jc w:val="both"/>
        <w:rPr>
          <w:sz w:val="20"/>
          <w:szCs w:val="20"/>
        </w:rPr>
      </w:pPr>
      <w:r w:rsidRPr="00E1251B">
        <w:rPr>
          <w:sz w:val="20"/>
          <w:szCs w:val="20"/>
        </w:rPr>
        <w:t>Aside from submitting their offers and any potential requests for clarifications related, potential suppliers shall generally not engage with IPPF-SARO in respect of the procurement case during the procurement process. Potential suppliers may address their requests for clarifications using the contact details provided by IPPF-SARO for the submission of offers. It is noted that questions/clarifications may amount to an amendment or supplement of the request for offers (see section 3).</w:t>
      </w:r>
    </w:p>
    <w:p w14:paraId="5EADEE81" w14:textId="77777777" w:rsidR="00FD1C44" w:rsidRPr="00E1251B" w:rsidRDefault="00FD1C44" w:rsidP="00E1251B">
      <w:pPr>
        <w:spacing w:after="0"/>
        <w:jc w:val="both"/>
      </w:pPr>
    </w:p>
    <w:p w14:paraId="01F7C025" w14:textId="0FB0CCD7" w:rsidR="00FD1C44" w:rsidRPr="00E1251B" w:rsidRDefault="00FD1C44" w:rsidP="00E1251B">
      <w:pPr>
        <w:pStyle w:val="ListParagraph"/>
        <w:numPr>
          <w:ilvl w:val="0"/>
          <w:numId w:val="12"/>
        </w:numPr>
        <w:ind w:left="426" w:hanging="426"/>
        <w:jc w:val="both"/>
        <w:rPr>
          <w:b/>
          <w:bCs/>
        </w:rPr>
      </w:pPr>
      <w:r w:rsidRPr="00E1251B">
        <w:rPr>
          <w:b/>
          <w:bCs/>
        </w:rPr>
        <w:t>Language of Offers</w:t>
      </w:r>
    </w:p>
    <w:p w14:paraId="488C6BFF" w14:textId="0D006E85" w:rsidR="00FD1C44" w:rsidRPr="00E1251B" w:rsidRDefault="00FD1C44" w:rsidP="00E1251B">
      <w:pPr>
        <w:spacing w:after="0"/>
        <w:jc w:val="both"/>
        <w:rPr>
          <w:sz w:val="20"/>
          <w:szCs w:val="20"/>
        </w:rPr>
      </w:pPr>
      <w:r w:rsidRPr="00E1251B">
        <w:rPr>
          <w:sz w:val="20"/>
          <w:szCs w:val="20"/>
        </w:rPr>
        <w:t>Offers should ideally be received in English. IPPF-SARO is unable to accept offers provided in any other languages.</w:t>
      </w:r>
    </w:p>
    <w:p w14:paraId="62BD86F0" w14:textId="77777777" w:rsidR="00FD1C44" w:rsidRPr="00E1251B" w:rsidRDefault="00FD1C44" w:rsidP="00E1251B">
      <w:pPr>
        <w:spacing w:after="0"/>
        <w:jc w:val="both"/>
      </w:pPr>
    </w:p>
    <w:p w14:paraId="07B6B4D8" w14:textId="77777777" w:rsidR="00E1251B" w:rsidRDefault="00FD1C44" w:rsidP="00E1251B">
      <w:pPr>
        <w:pStyle w:val="ListParagraph"/>
        <w:numPr>
          <w:ilvl w:val="0"/>
          <w:numId w:val="12"/>
        </w:numPr>
        <w:ind w:left="426" w:hanging="426"/>
        <w:jc w:val="both"/>
        <w:rPr>
          <w:b/>
          <w:bCs/>
        </w:rPr>
      </w:pPr>
      <w:r w:rsidRPr="00E1251B">
        <w:rPr>
          <w:b/>
          <w:bCs/>
        </w:rPr>
        <w:t>Currency of Offers and Goods and Service Tax (GST)</w:t>
      </w:r>
    </w:p>
    <w:p w14:paraId="00157260" w14:textId="77777777" w:rsidR="00E1251B" w:rsidRPr="00E1251B" w:rsidRDefault="00FD1C44" w:rsidP="00E1251B">
      <w:pPr>
        <w:pStyle w:val="ListParagraph"/>
        <w:numPr>
          <w:ilvl w:val="1"/>
          <w:numId w:val="14"/>
        </w:numPr>
        <w:ind w:left="426" w:hanging="426"/>
        <w:jc w:val="both"/>
        <w:rPr>
          <w:b/>
          <w:bCs/>
        </w:rPr>
      </w:pPr>
      <w:r w:rsidRPr="00E1251B">
        <w:rPr>
          <w:sz w:val="20"/>
          <w:szCs w:val="20"/>
        </w:rPr>
        <w:t xml:space="preserve">Offers should ideally be received by IPPF-SARO in INR, which is the primary currency of the regional office. </w:t>
      </w:r>
    </w:p>
    <w:p w14:paraId="211FAE64" w14:textId="45906EB2" w:rsidR="00FD1C44" w:rsidRPr="00351CA8" w:rsidRDefault="00FD1C44" w:rsidP="008072A4">
      <w:pPr>
        <w:pStyle w:val="ListParagraph"/>
        <w:numPr>
          <w:ilvl w:val="1"/>
          <w:numId w:val="14"/>
        </w:numPr>
        <w:ind w:left="426" w:hanging="426"/>
        <w:jc w:val="both"/>
        <w:rPr>
          <w:b/>
          <w:bCs/>
        </w:rPr>
      </w:pPr>
      <w:r w:rsidRPr="00E1251B">
        <w:rPr>
          <w:sz w:val="20"/>
          <w:szCs w:val="20"/>
        </w:rPr>
        <w:t>Prices must be stated inclusive of direct and indirect taxes, such as GST, also stating the rates of these taxes, if any.</w:t>
      </w:r>
    </w:p>
    <w:p w14:paraId="521AAF34" w14:textId="77777777" w:rsidR="00351CA8" w:rsidRPr="008072A4" w:rsidRDefault="00351CA8" w:rsidP="00351CA8">
      <w:pPr>
        <w:pStyle w:val="ListParagraph"/>
        <w:ind w:left="426"/>
        <w:jc w:val="both"/>
        <w:rPr>
          <w:b/>
          <w:bCs/>
        </w:rPr>
      </w:pPr>
    </w:p>
    <w:p w14:paraId="59270E05" w14:textId="0C3F9BBB" w:rsidR="00FD1C44" w:rsidRPr="00E1251B" w:rsidRDefault="00FD1C44" w:rsidP="00E1251B">
      <w:pPr>
        <w:pStyle w:val="ListParagraph"/>
        <w:numPr>
          <w:ilvl w:val="0"/>
          <w:numId w:val="12"/>
        </w:numPr>
        <w:ind w:left="426" w:hanging="426"/>
        <w:jc w:val="both"/>
        <w:rPr>
          <w:b/>
          <w:bCs/>
        </w:rPr>
      </w:pPr>
      <w:r w:rsidRPr="00E1251B">
        <w:rPr>
          <w:b/>
          <w:bCs/>
        </w:rPr>
        <w:t>Cost of Offers</w:t>
      </w:r>
    </w:p>
    <w:p w14:paraId="3B24C1F1" w14:textId="7AC86582" w:rsidR="008D7AAA" w:rsidRPr="00E1251B" w:rsidRDefault="008D7AAA" w:rsidP="00E1251B">
      <w:pPr>
        <w:spacing w:after="0"/>
        <w:jc w:val="both"/>
        <w:rPr>
          <w:sz w:val="20"/>
          <w:szCs w:val="20"/>
        </w:rPr>
      </w:pPr>
      <w:r w:rsidRPr="00E1251B">
        <w:rPr>
          <w:sz w:val="20"/>
          <w:szCs w:val="20"/>
        </w:rPr>
        <w:t>All offers must be submitted free of any charge to IPPF-SARO.</w:t>
      </w:r>
    </w:p>
    <w:p w14:paraId="2C6F6075" w14:textId="77777777" w:rsidR="008D7AAA" w:rsidRPr="00E1251B" w:rsidRDefault="008D7AAA" w:rsidP="00E1251B">
      <w:pPr>
        <w:spacing w:after="0"/>
        <w:jc w:val="both"/>
      </w:pPr>
    </w:p>
    <w:p w14:paraId="7A97B00C" w14:textId="48D615EE" w:rsidR="00FD1C44" w:rsidRPr="00E1251B" w:rsidRDefault="00FD1C44" w:rsidP="00E1251B">
      <w:pPr>
        <w:pStyle w:val="ListParagraph"/>
        <w:numPr>
          <w:ilvl w:val="0"/>
          <w:numId w:val="12"/>
        </w:numPr>
        <w:ind w:left="426" w:hanging="426"/>
        <w:jc w:val="both"/>
        <w:rPr>
          <w:b/>
          <w:bCs/>
        </w:rPr>
      </w:pPr>
      <w:r w:rsidRPr="00E1251B">
        <w:rPr>
          <w:b/>
          <w:bCs/>
        </w:rPr>
        <w:t>Supplier Selection</w:t>
      </w:r>
    </w:p>
    <w:p w14:paraId="7BD0E84A" w14:textId="08B08F69" w:rsidR="008D7AAA" w:rsidRPr="00E1251B" w:rsidRDefault="008D7AAA" w:rsidP="00E1251B">
      <w:pPr>
        <w:spacing w:after="0"/>
        <w:jc w:val="both"/>
        <w:rPr>
          <w:sz w:val="20"/>
          <w:szCs w:val="20"/>
        </w:rPr>
      </w:pPr>
      <w:r w:rsidRPr="00E1251B">
        <w:rPr>
          <w:sz w:val="20"/>
          <w:szCs w:val="20"/>
        </w:rPr>
        <w:t>The selection of a supplier by IPPF-SARO is final and cannot be appealed</w:t>
      </w:r>
    </w:p>
    <w:p w14:paraId="47F1D98B" w14:textId="77777777" w:rsidR="008D7AAA" w:rsidRPr="00E1251B" w:rsidRDefault="008D7AAA" w:rsidP="00E1251B">
      <w:pPr>
        <w:spacing w:after="0"/>
        <w:jc w:val="both"/>
      </w:pPr>
    </w:p>
    <w:p w14:paraId="45A8959A" w14:textId="2761754F" w:rsidR="00FD1C44" w:rsidRPr="00E1251B" w:rsidRDefault="00FD1C44" w:rsidP="00E1251B">
      <w:pPr>
        <w:pStyle w:val="ListParagraph"/>
        <w:numPr>
          <w:ilvl w:val="0"/>
          <w:numId w:val="12"/>
        </w:numPr>
        <w:ind w:left="426" w:hanging="426"/>
        <w:jc w:val="both"/>
        <w:rPr>
          <w:b/>
          <w:bCs/>
        </w:rPr>
      </w:pPr>
      <w:r w:rsidRPr="00E1251B">
        <w:rPr>
          <w:b/>
          <w:bCs/>
        </w:rPr>
        <w:t>Data Protection/confidentiality</w:t>
      </w:r>
    </w:p>
    <w:p w14:paraId="66389F31" w14:textId="254018D5" w:rsidR="00C62F09" w:rsidRPr="00E1251B" w:rsidRDefault="00C62F09" w:rsidP="00E1251B">
      <w:pPr>
        <w:spacing w:after="0"/>
        <w:jc w:val="both"/>
        <w:rPr>
          <w:sz w:val="20"/>
          <w:szCs w:val="20"/>
        </w:rPr>
      </w:pPr>
      <w:r w:rsidRPr="00E1251B">
        <w:rPr>
          <w:sz w:val="18"/>
          <w:szCs w:val="18"/>
        </w:rPr>
        <w:t>Confidentiality must be maintained regarding travel plans and organizational data.</w:t>
      </w:r>
    </w:p>
    <w:p w14:paraId="4A6801E5" w14:textId="00A8B7B9" w:rsidR="00FD1C44" w:rsidRDefault="00FD1C44" w:rsidP="005E7CBB">
      <w:pPr>
        <w:spacing w:after="0"/>
        <w:jc w:val="both"/>
        <w:rPr>
          <w:sz w:val="24"/>
          <w:szCs w:val="24"/>
        </w:rPr>
      </w:pPr>
    </w:p>
    <w:p w14:paraId="34F705BA" w14:textId="77777777" w:rsidR="005E7CBB" w:rsidRPr="005E7CBB" w:rsidRDefault="005E7CBB">
      <w:pPr>
        <w:rPr>
          <w:b/>
          <w:bCs/>
          <w:sz w:val="24"/>
          <w:szCs w:val="24"/>
        </w:rPr>
      </w:pPr>
    </w:p>
    <w:p w14:paraId="0159B610" w14:textId="77777777" w:rsidR="009F00D8" w:rsidRDefault="009F00D8">
      <w:pPr>
        <w:rPr>
          <w:b/>
          <w:bCs/>
          <w:sz w:val="28"/>
          <w:szCs w:val="28"/>
        </w:rPr>
      </w:pPr>
    </w:p>
    <w:p w14:paraId="1C8DCC50" w14:textId="77777777" w:rsidR="005E7CBB" w:rsidRDefault="005E7CBB">
      <w:pPr>
        <w:rPr>
          <w:b/>
          <w:bCs/>
          <w:sz w:val="28"/>
          <w:szCs w:val="28"/>
        </w:rPr>
      </w:pPr>
      <w:r>
        <w:rPr>
          <w:b/>
          <w:bCs/>
          <w:sz w:val="28"/>
          <w:szCs w:val="28"/>
        </w:rPr>
        <w:br w:type="page"/>
      </w:r>
    </w:p>
    <w:p w14:paraId="2F5FD0D1" w14:textId="77777777" w:rsidR="00794D91" w:rsidRPr="00E1251B" w:rsidRDefault="00794D91" w:rsidP="00E1251B">
      <w:pPr>
        <w:spacing w:after="0"/>
        <w:rPr>
          <w:sz w:val="28"/>
          <w:szCs w:val="28"/>
        </w:rPr>
      </w:pPr>
      <w:r w:rsidRPr="00E1251B">
        <w:rPr>
          <w:sz w:val="28"/>
          <w:szCs w:val="28"/>
        </w:rPr>
        <w:lastRenderedPageBreak/>
        <w:t>Annex 2</w:t>
      </w:r>
    </w:p>
    <w:p w14:paraId="13B474BE" w14:textId="3C72FC52" w:rsidR="00C62F09" w:rsidRPr="00E1251B" w:rsidRDefault="00C62F09" w:rsidP="00E1251B">
      <w:pPr>
        <w:spacing w:after="0"/>
        <w:jc w:val="both"/>
        <w:rPr>
          <w:sz w:val="28"/>
          <w:szCs w:val="28"/>
        </w:rPr>
      </w:pPr>
      <w:r w:rsidRPr="00E1251B">
        <w:rPr>
          <w:sz w:val="28"/>
          <w:szCs w:val="28"/>
        </w:rPr>
        <w:t xml:space="preserve">to </w:t>
      </w:r>
      <w:r w:rsidRPr="00E1251B">
        <w:rPr>
          <w:sz w:val="24"/>
          <w:szCs w:val="24"/>
        </w:rPr>
        <w:t>Request for Quotation, IPPF-SARO-RfQ-2025-0</w:t>
      </w:r>
      <w:r w:rsidR="00B07397">
        <w:rPr>
          <w:sz w:val="24"/>
          <w:szCs w:val="24"/>
        </w:rPr>
        <w:t>2</w:t>
      </w:r>
    </w:p>
    <w:p w14:paraId="26036FA8" w14:textId="77777777" w:rsidR="00794D91" w:rsidRDefault="00794D91" w:rsidP="00EB588D">
      <w:pPr>
        <w:spacing w:after="0"/>
        <w:rPr>
          <w:b/>
          <w:bCs/>
          <w:sz w:val="28"/>
          <w:szCs w:val="28"/>
        </w:rPr>
      </w:pPr>
    </w:p>
    <w:p w14:paraId="5E97FB59" w14:textId="6CDF371A" w:rsidR="00EB588D" w:rsidRPr="00E1251B" w:rsidRDefault="00EB588D" w:rsidP="00EB588D">
      <w:pPr>
        <w:spacing w:after="0"/>
        <w:rPr>
          <w:b/>
          <w:bCs/>
          <w:color w:val="7030A0"/>
          <w:sz w:val="32"/>
          <w:szCs w:val="32"/>
        </w:rPr>
      </w:pPr>
      <w:r w:rsidRPr="00E1251B">
        <w:rPr>
          <w:b/>
          <w:bCs/>
          <w:color w:val="7030A0"/>
          <w:sz w:val="32"/>
          <w:szCs w:val="32"/>
        </w:rPr>
        <w:t>Terms of Reference (</w:t>
      </w:r>
      <w:proofErr w:type="spellStart"/>
      <w:r w:rsidRPr="00E1251B">
        <w:rPr>
          <w:b/>
          <w:bCs/>
          <w:color w:val="7030A0"/>
          <w:sz w:val="32"/>
          <w:szCs w:val="32"/>
        </w:rPr>
        <w:t>ToR</w:t>
      </w:r>
      <w:proofErr w:type="spellEnd"/>
      <w:r w:rsidRPr="00E1251B">
        <w:rPr>
          <w:b/>
          <w:bCs/>
          <w:color w:val="7030A0"/>
          <w:sz w:val="32"/>
          <w:szCs w:val="32"/>
        </w:rPr>
        <w:t>)</w:t>
      </w:r>
      <w:r w:rsidRPr="00E1251B">
        <w:rPr>
          <w:b/>
          <w:bCs/>
          <w:color w:val="7030A0"/>
          <w:sz w:val="32"/>
          <w:szCs w:val="32"/>
        </w:rPr>
        <w:br/>
      </w:r>
    </w:p>
    <w:p w14:paraId="07926EE9" w14:textId="77777777" w:rsidR="00EB588D" w:rsidRPr="00E1251B" w:rsidRDefault="00EB588D" w:rsidP="00EB588D">
      <w:pPr>
        <w:spacing w:after="0"/>
        <w:rPr>
          <w:b/>
          <w:bCs/>
        </w:rPr>
      </w:pPr>
      <w:r w:rsidRPr="00E1251B">
        <w:rPr>
          <w:b/>
          <w:bCs/>
        </w:rPr>
        <w:t>1. Background</w:t>
      </w:r>
    </w:p>
    <w:p w14:paraId="17B59180" w14:textId="1463C8B6" w:rsidR="00EB588D" w:rsidRDefault="00534130" w:rsidP="00EB588D">
      <w:pPr>
        <w:spacing w:after="0"/>
        <w:jc w:val="both"/>
        <w:rPr>
          <w:sz w:val="20"/>
          <w:szCs w:val="20"/>
        </w:rPr>
      </w:pPr>
      <w:r w:rsidRPr="00E1251B">
        <w:rPr>
          <w:sz w:val="20"/>
          <w:szCs w:val="20"/>
        </w:rPr>
        <w:t>The International Planned Parenthood Federation (IPPF-SARO) is</w:t>
      </w:r>
      <w:r w:rsidR="00EB588D" w:rsidRPr="00E1251B">
        <w:rPr>
          <w:sz w:val="20"/>
          <w:szCs w:val="20"/>
        </w:rPr>
        <w:t xml:space="preserve"> an international </w:t>
      </w:r>
      <w:r w:rsidRPr="00E1251B">
        <w:rPr>
          <w:sz w:val="20"/>
          <w:szCs w:val="20"/>
        </w:rPr>
        <w:t xml:space="preserve">non-profit </w:t>
      </w:r>
      <w:r w:rsidR="00EB588D" w:rsidRPr="00E1251B">
        <w:rPr>
          <w:sz w:val="20"/>
          <w:szCs w:val="20"/>
        </w:rPr>
        <w:t xml:space="preserve">organization </w:t>
      </w:r>
      <w:r w:rsidRPr="00E1251B">
        <w:rPr>
          <w:sz w:val="20"/>
          <w:szCs w:val="20"/>
        </w:rPr>
        <w:t xml:space="preserve">having South Asia Regional office </w:t>
      </w:r>
      <w:r w:rsidR="00EB588D" w:rsidRPr="00E1251B">
        <w:rPr>
          <w:sz w:val="20"/>
          <w:szCs w:val="20"/>
        </w:rPr>
        <w:t>in Hauz Khas, New Delhi</w:t>
      </w:r>
      <w:r w:rsidRPr="00E1251B">
        <w:rPr>
          <w:sz w:val="20"/>
          <w:szCs w:val="20"/>
        </w:rPr>
        <w:t>. We</w:t>
      </w:r>
      <w:r w:rsidR="00EB588D" w:rsidRPr="00E1251B">
        <w:rPr>
          <w:sz w:val="20"/>
          <w:szCs w:val="20"/>
        </w:rPr>
        <w:t xml:space="preserve"> </w:t>
      </w:r>
      <w:r w:rsidRPr="00E1251B">
        <w:rPr>
          <w:sz w:val="20"/>
          <w:szCs w:val="20"/>
        </w:rPr>
        <w:t xml:space="preserve">are seeking expert assistant </w:t>
      </w:r>
      <w:r w:rsidR="00EB588D" w:rsidRPr="00E1251B">
        <w:rPr>
          <w:sz w:val="20"/>
          <w:szCs w:val="20"/>
        </w:rPr>
        <w:t xml:space="preserve">for </w:t>
      </w:r>
      <w:proofErr w:type="gramStart"/>
      <w:r w:rsidR="00EB588D" w:rsidRPr="00E1251B">
        <w:rPr>
          <w:sz w:val="20"/>
          <w:szCs w:val="20"/>
        </w:rPr>
        <w:t xml:space="preserve">comprehensive </w:t>
      </w:r>
      <w:r w:rsidR="00A830FD">
        <w:rPr>
          <w:sz w:val="20"/>
          <w:szCs w:val="20"/>
        </w:rPr>
        <w:t xml:space="preserve"> </w:t>
      </w:r>
      <w:r w:rsidR="008D3A61">
        <w:rPr>
          <w:sz w:val="20"/>
          <w:szCs w:val="20"/>
        </w:rPr>
        <w:t>taxi</w:t>
      </w:r>
      <w:proofErr w:type="gramEnd"/>
      <w:r w:rsidR="008D3A61">
        <w:rPr>
          <w:sz w:val="20"/>
          <w:szCs w:val="20"/>
        </w:rPr>
        <w:t xml:space="preserve"> </w:t>
      </w:r>
      <w:r w:rsidR="00EB588D" w:rsidRPr="00E1251B">
        <w:rPr>
          <w:sz w:val="20"/>
          <w:szCs w:val="20"/>
        </w:rPr>
        <w:t>travel services</w:t>
      </w:r>
      <w:r w:rsidRPr="00E1251B">
        <w:rPr>
          <w:sz w:val="20"/>
          <w:szCs w:val="20"/>
        </w:rPr>
        <w:t xml:space="preserve"> as specified in the scope of work.</w:t>
      </w:r>
    </w:p>
    <w:p w14:paraId="39D50FA9" w14:textId="77777777" w:rsidR="00375FB3" w:rsidRPr="00E1251B" w:rsidRDefault="00375FB3" w:rsidP="00EB588D">
      <w:pPr>
        <w:spacing w:after="0"/>
        <w:jc w:val="both"/>
        <w:rPr>
          <w:sz w:val="20"/>
          <w:szCs w:val="20"/>
        </w:rPr>
      </w:pPr>
    </w:p>
    <w:p w14:paraId="2B9B9F76" w14:textId="77777777" w:rsidR="00EB588D" w:rsidRPr="00E1251B" w:rsidRDefault="00EB588D" w:rsidP="00EB588D">
      <w:pPr>
        <w:spacing w:after="0"/>
        <w:rPr>
          <w:b/>
          <w:bCs/>
        </w:rPr>
      </w:pPr>
      <w:r w:rsidRPr="00E1251B">
        <w:rPr>
          <w:b/>
          <w:bCs/>
        </w:rPr>
        <w:t>2. Objectives</w:t>
      </w:r>
    </w:p>
    <w:p w14:paraId="1343D508" w14:textId="69417803" w:rsidR="00375FB3" w:rsidRPr="00E1251B" w:rsidRDefault="002F1C59" w:rsidP="00EB588D">
      <w:pPr>
        <w:spacing w:after="0"/>
        <w:jc w:val="both"/>
        <w:rPr>
          <w:sz w:val="20"/>
          <w:szCs w:val="20"/>
        </w:rPr>
      </w:pPr>
      <w:r w:rsidRPr="002F1C59">
        <w:rPr>
          <w:sz w:val="20"/>
          <w:szCs w:val="20"/>
        </w:rPr>
        <w:t xml:space="preserve">The purpose of the contract is to engage a qualified taxi service provider to manage and facilitate official travel for IPPF staff, visitors and event attendees. The selected agency will be responsible for delivering local and out-of-city travel services ensuring efficient, reliable and secure </w:t>
      </w:r>
      <w:proofErr w:type="gramStart"/>
      <w:r w:rsidRPr="002F1C59">
        <w:rPr>
          <w:sz w:val="20"/>
          <w:szCs w:val="20"/>
        </w:rPr>
        <w:t>transportation..</w:t>
      </w:r>
      <w:proofErr w:type="gramEnd"/>
      <w:r w:rsidRPr="002F1C59">
        <w:rPr>
          <w:sz w:val="20"/>
          <w:szCs w:val="20"/>
        </w:rPr>
        <w:t xml:space="preserve"> The selected vendor is expected to </w:t>
      </w:r>
      <w:proofErr w:type="spellStart"/>
      <w:r w:rsidRPr="002F1C59">
        <w:rPr>
          <w:sz w:val="20"/>
          <w:szCs w:val="20"/>
        </w:rPr>
        <w:t>fulfill</w:t>
      </w:r>
      <w:proofErr w:type="spellEnd"/>
      <w:r w:rsidRPr="002F1C59">
        <w:rPr>
          <w:sz w:val="20"/>
          <w:szCs w:val="20"/>
        </w:rPr>
        <w:t xml:space="preserve"> travel requests as per the specifications provided by IPPF.</w:t>
      </w:r>
    </w:p>
    <w:p w14:paraId="1D8D4318" w14:textId="24E5DB93" w:rsidR="00EB588D" w:rsidRPr="007915E1" w:rsidRDefault="00EB588D" w:rsidP="00EB588D">
      <w:pPr>
        <w:spacing w:after="0"/>
        <w:rPr>
          <w:b/>
          <w:bCs/>
        </w:rPr>
      </w:pPr>
      <w:r w:rsidRPr="00E1251B">
        <w:rPr>
          <w:b/>
          <w:bCs/>
        </w:rPr>
        <w:t>3. Scope of Work</w:t>
      </w:r>
    </w:p>
    <w:p w14:paraId="3AF1AA71" w14:textId="3AB6078A" w:rsidR="00BE4838" w:rsidRPr="007915E1" w:rsidRDefault="007915E1" w:rsidP="007915E1">
      <w:pPr>
        <w:spacing w:after="0"/>
        <w:rPr>
          <w:sz w:val="20"/>
          <w:szCs w:val="20"/>
        </w:rPr>
      </w:pPr>
      <w:r w:rsidRPr="007915E1">
        <w:rPr>
          <w:sz w:val="20"/>
          <w:szCs w:val="20"/>
        </w:rPr>
        <w:t>The selected taxi service provider will be responsible for the following:</w:t>
      </w:r>
    </w:p>
    <w:p w14:paraId="05B220F0" w14:textId="2424DBC8" w:rsidR="007915E1" w:rsidRPr="007915E1" w:rsidRDefault="00BE4838" w:rsidP="007915E1">
      <w:pPr>
        <w:pStyle w:val="ListParagraph"/>
        <w:spacing w:after="0"/>
        <w:rPr>
          <w:sz w:val="20"/>
          <w:szCs w:val="20"/>
        </w:rPr>
      </w:pPr>
      <w:r>
        <w:rPr>
          <w:b/>
          <w:bCs/>
          <w:sz w:val="20"/>
          <w:szCs w:val="20"/>
        </w:rPr>
        <w:t>-</w:t>
      </w:r>
      <w:r w:rsidR="007915E1" w:rsidRPr="007915E1">
        <w:rPr>
          <w:sz w:val="20"/>
          <w:szCs w:val="20"/>
        </w:rPr>
        <w:t xml:space="preserve"> Ensure same day response to IPPF requests</w:t>
      </w:r>
    </w:p>
    <w:p w14:paraId="2F0D7778" w14:textId="2C8DD463" w:rsidR="00231DD9" w:rsidRPr="00351CA8" w:rsidRDefault="00BE4838" w:rsidP="00351CA8">
      <w:pPr>
        <w:pStyle w:val="ListParagraph"/>
        <w:spacing w:after="0"/>
        <w:rPr>
          <w:sz w:val="20"/>
          <w:szCs w:val="20"/>
        </w:rPr>
      </w:pPr>
      <w:r>
        <w:rPr>
          <w:b/>
          <w:bCs/>
          <w:sz w:val="20"/>
          <w:szCs w:val="20"/>
        </w:rPr>
        <w:t>-</w:t>
      </w:r>
      <w:r w:rsidR="007915E1" w:rsidRPr="007915E1">
        <w:rPr>
          <w:sz w:val="20"/>
          <w:szCs w:val="20"/>
        </w:rPr>
        <w:t xml:space="preserve"> 24/7 support (via email or phone)</w:t>
      </w:r>
    </w:p>
    <w:tbl>
      <w:tblPr>
        <w:tblW w:w="0" w:type="auto"/>
        <w:tblCellMar>
          <w:left w:w="0" w:type="dxa"/>
          <w:right w:w="0" w:type="dxa"/>
        </w:tblCellMar>
        <w:tblLook w:val="04A0" w:firstRow="1" w:lastRow="0" w:firstColumn="1" w:lastColumn="0" w:noHBand="0" w:noVBand="1"/>
      </w:tblPr>
      <w:tblGrid>
        <w:gridCol w:w="2071"/>
        <w:gridCol w:w="3545"/>
        <w:gridCol w:w="3390"/>
      </w:tblGrid>
      <w:tr w:rsidR="00657366" w:rsidRPr="00657366" w14:paraId="7D4BA2CB" w14:textId="77777777" w:rsidTr="00657366">
        <w:tc>
          <w:tcPr>
            <w:tcW w:w="2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EE7F37" w14:textId="77777777" w:rsidR="00657366" w:rsidRPr="00657366" w:rsidRDefault="00657366" w:rsidP="00657366">
            <w:pPr>
              <w:pStyle w:val="ListParagraph"/>
              <w:spacing w:after="0"/>
              <w:rPr>
                <w:sz w:val="20"/>
                <w:szCs w:val="20"/>
              </w:rPr>
            </w:pPr>
            <w:r w:rsidRPr="00657366">
              <w:rPr>
                <w:b/>
                <w:bCs/>
                <w:sz w:val="20"/>
                <w:szCs w:val="20"/>
              </w:rPr>
              <w:t>Type of Cab/Taxi</w:t>
            </w:r>
          </w:p>
        </w:tc>
        <w:tc>
          <w:tcPr>
            <w:tcW w:w="7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934A8F" w14:textId="77777777" w:rsidR="00657366" w:rsidRPr="00657366" w:rsidRDefault="00657366" w:rsidP="00657366">
            <w:pPr>
              <w:pStyle w:val="ListParagraph"/>
              <w:spacing w:after="0"/>
              <w:rPr>
                <w:sz w:val="20"/>
                <w:szCs w:val="20"/>
              </w:rPr>
            </w:pPr>
            <w:r w:rsidRPr="00657366">
              <w:rPr>
                <w:b/>
                <w:bCs/>
                <w:sz w:val="20"/>
                <w:szCs w:val="20"/>
              </w:rPr>
              <w:t>General specification</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000CE" w14:textId="77777777" w:rsidR="00657366" w:rsidRPr="00657366" w:rsidRDefault="00657366" w:rsidP="00657366">
            <w:pPr>
              <w:pStyle w:val="ListParagraph"/>
              <w:spacing w:after="0"/>
              <w:rPr>
                <w:sz w:val="20"/>
                <w:szCs w:val="20"/>
              </w:rPr>
            </w:pPr>
            <w:r w:rsidRPr="00657366">
              <w:rPr>
                <w:b/>
                <w:bCs/>
                <w:sz w:val="20"/>
                <w:szCs w:val="20"/>
              </w:rPr>
              <w:t>Other Remarks  </w:t>
            </w:r>
          </w:p>
        </w:tc>
      </w:tr>
      <w:tr w:rsidR="00657366" w:rsidRPr="00657366" w14:paraId="2A36DFE2" w14:textId="77777777" w:rsidTr="00657366">
        <w:tc>
          <w:tcPr>
            <w:tcW w:w="2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13C48" w14:textId="77777777" w:rsidR="00657366" w:rsidRPr="00657366" w:rsidRDefault="00657366" w:rsidP="00657366">
            <w:pPr>
              <w:pStyle w:val="ListParagraph"/>
              <w:numPr>
                <w:ilvl w:val="0"/>
                <w:numId w:val="15"/>
              </w:numPr>
              <w:spacing w:after="0"/>
              <w:rPr>
                <w:sz w:val="20"/>
                <w:szCs w:val="20"/>
              </w:rPr>
            </w:pPr>
            <w:r w:rsidRPr="00657366">
              <w:rPr>
                <w:sz w:val="20"/>
                <w:szCs w:val="20"/>
              </w:rPr>
              <w:t>Commercial – Petrol/Diesel</w:t>
            </w:r>
          </w:p>
          <w:p w14:paraId="3BEB3012" w14:textId="77777777" w:rsidR="00CA5188" w:rsidRDefault="00657366" w:rsidP="00147B8B">
            <w:pPr>
              <w:pStyle w:val="ListParagraph"/>
              <w:numPr>
                <w:ilvl w:val="0"/>
                <w:numId w:val="15"/>
              </w:numPr>
              <w:spacing w:after="0"/>
              <w:rPr>
                <w:sz w:val="20"/>
                <w:szCs w:val="20"/>
              </w:rPr>
            </w:pPr>
            <w:r w:rsidRPr="00657366">
              <w:rPr>
                <w:sz w:val="20"/>
                <w:szCs w:val="20"/>
              </w:rPr>
              <w:t>Purchased after January 2019</w:t>
            </w:r>
          </w:p>
          <w:p w14:paraId="7F627DC7" w14:textId="1AE4FEF2" w:rsidR="00147B8B" w:rsidRPr="00147B8B" w:rsidRDefault="00147B8B" w:rsidP="00147B8B">
            <w:pPr>
              <w:pStyle w:val="ListParagraph"/>
              <w:numPr>
                <w:ilvl w:val="0"/>
                <w:numId w:val="15"/>
              </w:numPr>
              <w:spacing w:after="0"/>
              <w:rPr>
                <w:sz w:val="20"/>
                <w:szCs w:val="20"/>
              </w:rPr>
            </w:pPr>
            <w:r w:rsidRPr="00147B8B">
              <w:rPr>
                <w:sz w:val="20"/>
                <w:szCs w:val="20"/>
              </w:rPr>
              <w:t>E-vehicle</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14:paraId="082ED552" w14:textId="77777777" w:rsidR="00D46434" w:rsidRDefault="00D46434" w:rsidP="00D46434">
            <w:pPr>
              <w:spacing w:after="0"/>
              <w:rPr>
                <w:sz w:val="20"/>
                <w:szCs w:val="20"/>
              </w:rPr>
            </w:pPr>
            <w:r w:rsidRPr="00D46434">
              <w:rPr>
                <w:sz w:val="20"/>
                <w:szCs w:val="20"/>
              </w:rPr>
              <w:t>1. Offer a fleet of well-maintained vehicles, white coloured preferably, that comply safety and environmental regulations.</w:t>
            </w:r>
          </w:p>
          <w:p w14:paraId="14602123" w14:textId="77777777" w:rsidR="00D46434" w:rsidRDefault="00D46434" w:rsidP="00D46434">
            <w:pPr>
              <w:spacing w:after="0"/>
              <w:rPr>
                <w:sz w:val="20"/>
                <w:szCs w:val="20"/>
              </w:rPr>
            </w:pPr>
            <w:r w:rsidRPr="00D46434">
              <w:rPr>
                <w:sz w:val="20"/>
                <w:szCs w:val="20"/>
              </w:rPr>
              <w:t xml:space="preserve"> 2. All necessary permits to travel within NCR region. </w:t>
            </w:r>
          </w:p>
          <w:p w14:paraId="3133BE49" w14:textId="77777777" w:rsidR="00D46434" w:rsidRDefault="00D46434" w:rsidP="00D46434">
            <w:pPr>
              <w:spacing w:after="0"/>
              <w:rPr>
                <w:sz w:val="20"/>
                <w:szCs w:val="20"/>
              </w:rPr>
            </w:pPr>
            <w:r w:rsidRPr="00D46434">
              <w:rPr>
                <w:sz w:val="20"/>
                <w:szCs w:val="20"/>
              </w:rPr>
              <w:t xml:space="preserve">3. Driver should be </w:t>
            </w:r>
            <w:proofErr w:type="gramStart"/>
            <w:r w:rsidRPr="00D46434">
              <w:rPr>
                <w:sz w:val="20"/>
                <w:szCs w:val="20"/>
              </w:rPr>
              <w:t>in a position</w:t>
            </w:r>
            <w:proofErr w:type="gramEnd"/>
            <w:r w:rsidRPr="00D46434">
              <w:rPr>
                <w:sz w:val="20"/>
                <w:szCs w:val="20"/>
              </w:rPr>
              <w:t xml:space="preserve"> to understand and speak in English. </w:t>
            </w:r>
            <w:proofErr w:type="spellStart"/>
            <w:r w:rsidRPr="00D46434">
              <w:rPr>
                <w:sz w:val="20"/>
                <w:szCs w:val="20"/>
              </w:rPr>
              <w:t>He/She</w:t>
            </w:r>
            <w:proofErr w:type="spellEnd"/>
            <w:r w:rsidRPr="00D46434">
              <w:rPr>
                <w:sz w:val="20"/>
                <w:szCs w:val="20"/>
              </w:rPr>
              <w:t xml:space="preserve"> should be soft spoken. Female driver will be preferred. </w:t>
            </w:r>
          </w:p>
          <w:p w14:paraId="0EB5CCB9" w14:textId="77777777" w:rsidR="00D46434" w:rsidRDefault="00D46434" w:rsidP="00D46434">
            <w:pPr>
              <w:spacing w:after="0"/>
              <w:rPr>
                <w:sz w:val="20"/>
                <w:szCs w:val="20"/>
              </w:rPr>
            </w:pPr>
            <w:r w:rsidRPr="00D46434">
              <w:rPr>
                <w:sz w:val="20"/>
                <w:szCs w:val="20"/>
              </w:rPr>
              <w:t xml:space="preserve">4. Driver will always be in uniform provided from taxi company. </w:t>
            </w:r>
          </w:p>
          <w:p w14:paraId="58177693" w14:textId="77777777" w:rsidR="00D46434" w:rsidRDefault="00D46434" w:rsidP="00D46434">
            <w:pPr>
              <w:spacing w:after="0"/>
              <w:rPr>
                <w:sz w:val="20"/>
                <w:szCs w:val="20"/>
              </w:rPr>
            </w:pPr>
            <w:r w:rsidRPr="00D46434">
              <w:rPr>
                <w:sz w:val="20"/>
                <w:szCs w:val="20"/>
              </w:rPr>
              <w:t xml:space="preserve">5. He should not be smoking or chewing any form of tobacco during or after business hours. </w:t>
            </w:r>
          </w:p>
          <w:p w14:paraId="5928BE5C" w14:textId="36C15B0D" w:rsidR="00657366" w:rsidRPr="00D46434" w:rsidRDefault="00D46434" w:rsidP="00D46434">
            <w:pPr>
              <w:spacing w:after="0"/>
              <w:rPr>
                <w:sz w:val="20"/>
                <w:szCs w:val="20"/>
              </w:rPr>
            </w:pPr>
            <w:r w:rsidRPr="00D46434">
              <w:rPr>
                <w:sz w:val="20"/>
                <w:szCs w:val="20"/>
              </w:rPr>
              <w:t>6. First Aid Box/drinking water bottle/fire extinguisher/daily newspaper (English)/hand sanitizer, tissue paper box will be required in vehicle every time.</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73158578" w14:textId="77777777" w:rsidR="00CB2403" w:rsidRDefault="007A58F9" w:rsidP="00A71D38">
            <w:pPr>
              <w:pStyle w:val="ListParagraph"/>
              <w:numPr>
                <w:ilvl w:val="0"/>
                <w:numId w:val="19"/>
              </w:numPr>
              <w:spacing w:after="0"/>
              <w:rPr>
                <w:sz w:val="20"/>
                <w:szCs w:val="20"/>
              </w:rPr>
            </w:pPr>
            <w:r w:rsidRPr="007A58F9">
              <w:rPr>
                <w:sz w:val="20"/>
                <w:szCs w:val="20"/>
              </w:rPr>
              <w:t>Car requests can be made on any day, depending on IPPF’s schedule and preference.</w:t>
            </w:r>
          </w:p>
          <w:p w14:paraId="5251EB22" w14:textId="269694A7" w:rsidR="00A71D38" w:rsidRDefault="00A71D38" w:rsidP="00A71D38">
            <w:pPr>
              <w:pStyle w:val="ListParagraph"/>
              <w:numPr>
                <w:ilvl w:val="0"/>
                <w:numId w:val="19"/>
              </w:numPr>
              <w:spacing w:after="0"/>
              <w:rPr>
                <w:sz w:val="20"/>
                <w:szCs w:val="20"/>
              </w:rPr>
            </w:pPr>
            <w:r w:rsidRPr="00657366">
              <w:rPr>
                <w:sz w:val="20"/>
                <w:szCs w:val="20"/>
              </w:rPr>
              <w:t xml:space="preserve"> </w:t>
            </w:r>
            <w:r w:rsidR="00CB2403" w:rsidRPr="00CB2403">
              <w:rPr>
                <w:sz w:val="20"/>
                <w:szCs w:val="20"/>
              </w:rPr>
              <w:t>The same car and driver should be assigned for the entire booking period.</w:t>
            </w:r>
          </w:p>
          <w:p w14:paraId="3AB8772A" w14:textId="111ED51C" w:rsidR="00252BFC" w:rsidRDefault="00252BFC" w:rsidP="00E4380A">
            <w:pPr>
              <w:pStyle w:val="ListParagraph"/>
              <w:numPr>
                <w:ilvl w:val="0"/>
                <w:numId w:val="19"/>
              </w:numPr>
              <w:spacing w:after="0"/>
              <w:ind w:right="-161"/>
              <w:rPr>
                <w:sz w:val="20"/>
                <w:szCs w:val="20"/>
              </w:rPr>
            </w:pPr>
            <w:proofErr w:type="spellStart"/>
            <w:r w:rsidRPr="00252BFC">
              <w:rPr>
                <w:sz w:val="20"/>
                <w:szCs w:val="20"/>
              </w:rPr>
              <w:t>Refueling</w:t>
            </w:r>
            <w:proofErr w:type="spellEnd"/>
            <w:r w:rsidRPr="00252BFC">
              <w:rPr>
                <w:sz w:val="20"/>
                <w:szCs w:val="20"/>
              </w:rPr>
              <w:t xml:space="preserve"> or tire air is not permitted during official duty hours.</w:t>
            </w:r>
          </w:p>
          <w:p w14:paraId="1F7CC106" w14:textId="08FFD973" w:rsidR="00A71D38" w:rsidRDefault="00252BFC" w:rsidP="00A71D38">
            <w:pPr>
              <w:pStyle w:val="ListParagraph"/>
              <w:numPr>
                <w:ilvl w:val="0"/>
                <w:numId w:val="19"/>
              </w:numPr>
              <w:spacing w:after="0"/>
              <w:rPr>
                <w:sz w:val="20"/>
                <w:szCs w:val="20"/>
              </w:rPr>
            </w:pPr>
            <w:r w:rsidRPr="00252BFC">
              <w:rPr>
                <w:sz w:val="20"/>
                <w:szCs w:val="20"/>
              </w:rPr>
              <w:t>Outstation travel may be required on an as needed basis.</w:t>
            </w:r>
          </w:p>
          <w:p w14:paraId="42D1546A" w14:textId="63A5930E" w:rsidR="00EF306D" w:rsidRPr="00EF306D" w:rsidRDefault="00EF306D" w:rsidP="00A71D38">
            <w:pPr>
              <w:pStyle w:val="ListParagraph"/>
              <w:numPr>
                <w:ilvl w:val="0"/>
                <w:numId w:val="19"/>
              </w:numPr>
              <w:spacing w:after="0"/>
              <w:rPr>
                <w:sz w:val="20"/>
                <w:szCs w:val="20"/>
              </w:rPr>
            </w:pPr>
            <w:r w:rsidRPr="00EF306D">
              <w:rPr>
                <w:sz w:val="20"/>
                <w:szCs w:val="20"/>
              </w:rPr>
              <w:t>All penalties/traffic violation challans will be borne by taxi service provider company.</w:t>
            </w:r>
          </w:p>
          <w:p w14:paraId="1B8DCE7A" w14:textId="1D80B614" w:rsidR="00657366" w:rsidRPr="00033BD0" w:rsidRDefault="00657366" w:rsidP="00033BD0">
            <w:pPr>
              <w:spacing w:after="0"/>
              <w:rPr>
                <w:sz w:val="20"/>
                <w:szCs w:val="20"/>
              </w:rPr>
            </w:pPr>
          </w:p>
        </w:tc>
      </w:tr>
    </w:tbl>
    <w:p w14:paraId="38443926" w14:textId="77777777" w:rsidR="00231DD9" w:rsidRPr="00EB588D" w:rsidRDefault="00231DD9" w:rsidP="00231DD9">
      <w:pPr>
        <w:spacing w:after="0"/>
      </w:pPr>
    </w:p>
    <w:p w14:paraId="380C3421" w14:textId="77777777" w:rsidR="00EB588D" w:rsidRPr="00E1251B" w:rsidRDefault="00EB588D" w:rsidP="00EB588D">
      <w:pPr>
        <w:spacing w:after="0"/>
        <w:rPr>
          <w:b/>
          <w:bCs/>
        </w:rPr>
      </w:pPr>
      <w:r w:rsidRPr="00E1251B">
        <w:rPr>
          <w:b/>
          <w:bCs/>
        </w:rPr>
        <w:t>4. Deliverables</w:t>
      </w:r>
    </w:p>
    <w:p w14:paraId="4738A5F0" w14:textId="77777777" w:rsidR="00EB588D" w:rsidRPr="00E1251B" w:rsidRDefault="00EB588D" w:rsidP="00EB588D">
      <w:pPr>
        <w:spacing w:after="0"/>
        <w:rPr>
          <w:sz w:val="20"/>
          <w:szCs w:val="20"/>
        </w:rPr>
      </w:pPr>
      <w:r w:rsidRPr="00E1251B">
        <w:rPr>
          <w:sz w:val="20"/>
          <w:szCs w:val="20"/>
        </w:rPr>
        <w:t>The agency is expected to:</w:t>
      </w:r>
    </w:p>
    <w:p w14:paraId="4723DD82" w14:textId="77777777" w:rsidR="00231DD9" w:rsidRPr="00E1251B" w:rsidRDefault="00231DD9" w:rsidP="00231DD9">
      <w:pPr>
        <w:pStyle w:val="ListParagraph"/>
        <w:numPr>
          <w:ilvl w:val="0"/>
          <w:numId w:val="9"/>
        </w:numPr>
        <w:spacing w:after="0"/>
        <w:rPr>
          <w:sz w:val="20"/>
          <w:szCs w:val="20"/>
        </w:rPr>
      </w:pPr>
      <w:r w:rsidRPr="00E1251B">
        <w:rPr>
          <w:sz w:val="20"/>
          <w:szCs w:val="20"/>
        </w:rPr>
        <w:t>Assign a single-point-of-contact (i.e., a person with emergency back-up or small team) to service all IPPF’s needs</w:t>
      </w:r>
    </w:p>
    <w:p w14:paraId="37E914FF" w14:textId="2E6C5B48" w:rsidR="00624139" w:rsidRPr="00B71E3E" w:rsidRDefault="00624139" w:rsidP="00B71E3E">
      <w:pPr>
        <w:numPr>
          <w:ilvl w:val="0"/>
          <w:numId w:val="9"/>
        </w:numPr>
        <w:spacing w:before="100" w:beforeAutospacing="1" w:after="100" w:afterAutospacing="1" w:line="240" w:lineRule="auto"/>
        <w:rPr>
          <w:rFonts w:ascii="Times New Roman" w:eastAsia="Times New Roman" w:hAnsi="Times New Roman" w:cs="Times New Roman"/>
          <w:color w:val="26282A"/>
          <w:kern w:val="0"/>
          <w:sz w:val="27"/>
          <w:szCs w:val="27"/>
          <w:lang w:eastAsia="en-IN"/>
          <w14:ligatures w14:val="none"/>
        </w:rPr>
      </w:pPr>
      <w:r w:rsidRPr="00624139">
        <w:rPr>
          <w:rFonts w:ascii="Calibri Light" w:eastAsia="Times New Roman" w:hAnsi="Calibri Light" w:cs="Calibri Light"/>
          <w:color w:val="26282A"/>
          <w:kern w:val="0"/>
          <w:sz w:val="20"/>
          <w:szCs w:val="20"/>
          <w:lang w:val="en-SG" w:eastAsia="en-IN"/>
          <w14:ligatures w14:val="none"/>
        </w:rPr>
        <w:t xml:space="preserve">The driver will provide the </w:t>
      </w:r>
      <w:proofErr w:type="gramStart"/>
      <w:r w:rsidRPr="00624139">
        <w:rPr>
          <w:rFonts w:ascii="Calibri Light" w:eastAsia="Times New Roman" w:hAnsi="Calibri Light" w:cs="Calibri Light"/>
          <w:color w:val="26282A"/>
          <w:kern w:val="0"/>
          <w:sz w:val="20"/>
          <w:szCs w:val="20"/>
          <w:lang w:val="en-SG" w:eastAsia="en-IN"/>
          <w14:ligatures w14:val="none"/>
        </w:rPr>
        <w:t>log book</w:t>
      </w:r>
      <w:proofErr w:type="gramEnd"/>
      <w:r w:rsidRPr="00624139">
        <w:rPr>
          <w:rFonts w:ascii="Calibri Light" w:eastAsia="Times New Roman" w:hAnsi="Calibri Light" w:cs="Calibri Light"/>
          <w:color w:val="26282A"/>
          <w:kern w:val="0"/>
          <w:sz w:val="20"/>
          <w:szCs w:val="20"/>
          <w:lang w:val="en-SG" w:eastAsia="en-IN"/>
          <w14:ligatures w14:val="none"/>
        </w:rPr>
        <w:t xml:space="preserve"> and it will be responsibility of the driver to log in details of every trip</w:t>
      </w:r>
      <w:r w:rsidRPr="00624139">
        <w:rPr>
          <w:rFonts w:ascii="Calibri Light" w:eastAsia="Times New Roman" w:hAnsi="Calibri Light" w:cs="Calibri Light"/>
          <w:kern w:val="0"/>
          <w:sz w:val="20"/>
          <w:szCs w:val="20"/>
          <w:lang w:val="en-SG" w:eastAsia="en-IN"/>
          <w14:ligatures w14:val="none"/>
        </w:rPr>
        <w:t>/travel.</w:t>
      </w:r>
    </w:p>
    <w:p w14:paraId="03D75634" w14:textId="77777777" w:rsidR="00624139" w:rsidRPr="00624139" w:rsidRDefault="00624139" w:rsidP="00624139">
      <w:pPr>
        <w:numPr>
          <w:ilvl w:val="0"/>
          <w:numId w:val="9"/>
        </w:numPr>
        <w:spacing w:before="100" w:beforeAutospacing="1" w:after="100" w:afterAutospacing="1" w:line="240" w:lineRule="auto"/>
        <w:rPr>
          <w:rFonts w:ascii="Times New Roman" w:eastAsia="Times New Roman" w:hAnsi="Times New Roman" w:cs="Times New Roman"/>
          <w:color w:val="26282A"/>
          <w:kern w:val="0"/>
          <w:sz w:val="27"/>
          <w:szCs w:val="27"/>
          <w:lang w:eastAsia="en-IN"/>
          <w14:ligatures w14:val="none"/>
        </w:rPr>
      </w:pPr>
      <w:r w:rsidRPr="00624139">
        <w:rPr>
          <w:rFonts w:ascii="Calibri Light" w:eastAsia="Times New Roman" w:hAnsi="Calibri Light" w:cs="Calibri Light"/>
          <w:color w:val="26282A"/>
          <w:kern w:val="0"/>
          <w:sz w:val="20"/>
          <w:szCs w:val="20"/>
          <w:lang w:val="en-SG" w:eastAsia="en-IN"/>
          <w14:ligatures w14:val="none"/>
        </w:rPr>
        <w:t>No advance will be provided in any case to the driver.</w:t>
      </w:r>
    </w:p>
    <w:p w14:paraId="7712BB04" w14:textId="77777777" w:rsidR="00624139" w:rsidRPr="00624139" w:rsidRDefault="00624139" w:rsidP="00624139">
      <w:pPr>
        <w:numPr>
          <w:ilvl w:val="0"/>
          <w:numId w:val="9"/>
        </w:numPr>
        <w:spacing w:before="100" w:beforeAutospacing="1" w:after="100" w:afterAutospacing="1" w:line="240" w:lineRule="auto"/>
        <w:rPr>
          <w:rFonts w:ascii="Times New Roman" w:eastAsia="Times New Roman" w:hAnsi="Times New Roman" w:cs="Times New Roman"/>
          <w:color w:val="000000"/>
          <w:kern w:val="0"/>
          <w:sz w:val="27"/>
          <w:szCs w:val="27"/>
          <w:lang w:eastAsia="en-IN"/>
          <w14:ligatures w14:val="none"/>
        </w:rPr>
      </w:pPr>
      <w:r w:rsidRPr="00624139">
        <w:rPr>
          <w:rFonts w:ascii="Calibri Light" w:eastAsia="Times New Roman" w:hAnsi="Calibri Light" w:cs="Calibri Light"/>
          <w:color w:val="000000"/>
          <w:kern w:val="0"/>
          <w:sz w:val="20"/>
          <w:szCs w:val="20"/>
          <w:lang w:val="en-SG" w:eastAsia="en-IN"/>
          <w14:ligatures w14:val="none"/>
        </w:rPr>
        <w:lastRenderedPageBreak/>
        <w:t>Invoice will be raised on monthly basis.</w:t>
      </w:r>
    </w:p>
    <w:p w14:paraId="249D7626" w14:textId="0FDF136E" w:rsidR="00624139" w:rsidRPr="00624139" w:rsidRDefault="00624139" w:rsidP="00624139">
      <w:pPr>
        <w:numPr>
          <w:ilvl w:val="0"/>
          <w:numId w:val="9"/>
        </w:numPr>
        <w:spacing w:before="100" w:beforeAutospacing="1" w:after="100" w:afterAutospacing="1" w:line="240" w:lineRule="auto"/>
        <w:rPr>
          <w:rFonts w:ascii="Times New Roman" w:eastAsia="Times New Roman" w:hAnsi="Times New Roman" w:cs="Times New Roman"/>
          <w:color w:val="000000"/>
          <w:kern w:val="0"/>
          <w:sz w:val="27"/>
          <w:szCs w:val="27"/>
          <w:lang w:eastAsia="en-IN"/>
          <w14:ligatures w14:val="none"/>
        </w:rPr>
      </w:pPr>
      <w:r w:rsidRPr="00624139">
        <w:rPr>
          <w:rFonts w:ascii="Calibri Light" w:eastAsia="Times New Roman" w:hAnsi="Calibri Light" w:cs="Calibri Light"/>
          <w:color w:val="000000"/>
          <w:kern w:val="0"/>
          <w:sz w:val="20"/>
          <w:szCs w:val="20"/>
          <w:lang w:val="en-SG" w:eastAsia="en-IN"/>
          <w14:ligatures w14:val="none"/>
        </w:rPr>
        <w:t xml:space="preserve">Payment will be released within </w:t>
      </w:r>
      <w:r w:rsidR="00F75F93">
        <w:rPr>
          <w:rFonts w:ascii="Calibri Light" w:eastAsia="Times New Roman" w:hAnsi="Calibri Light" w:cs="Calibri Light"/>
          <w:color w:val="000000"/>
          <w:kern w:val="0"/>
          <w:sz w:val="20"/>
          <w:szCs w:val="20"/>
          <w:lang w:val="en-SG" w:eastAsia="en-IN"/>
          <w14:ligatures w14:val="none"/>
        </w:rPr>
        <w:t>10</w:t>
      </w:r>
      <w:r w:rsidRPr="00624139">
        <w:rPr>
          <w:rFonts w:ascii="Calibri Light" w:eastAsia="Times New Roman" w:hAnsi="Calibri Light" w:cs="Calibri Light"/>
          <w:color w:val="000000"/>
          <w:kern w:val="0"/>
          <w:sz w:val="20"/>
          <w:szCs w:val="20"/>
          <w:lang w:val="en-SG" w:eastAsia="en-IN"/>
          <w14:ligatures w14:val="none"/>
        </w:rPr>
        <w:t>/</w:t>
      </w:r>
      <w:r w:rsidR="00F75F93">
        <w:rPr>
          <w:rFonts w:ascii="Calibri Light" w:eastAsia="Times New Roman" w:hAnsi="Calibri Light" w:cs="Calibri Light"/>
          <w:color w:val="000000"/>
          <w:kern w:val="0"/>
          <w:sz w:val="20"/>
          <w:szCs w:val="20"/>
          <w:lang w:val="en-SG" w:eastAsia="en-IN"/>
          <w14:ligatures w14:val="none"/>
        </w:rPr>
        <w:t>15</w:t>
      </w:r>
      <w:r w:rsidRPr="00624139">
        <w:rPr>
          <w:rFonts w:ascii="Calibri Light" w:eastAsia="Times New Roman" w:hAnsi="Calibri Light" w:cs="Calibri Light"/>
          <w:color w:val="000000"/>
          <w:kern w:val="0"/>
          <w:sz w:val="20"/>
          <w:szCs w:val="20"/>
          <w:lang w:val="en-SG" w:eastAsia="en-IN"/>
          <w14:ligatures w14:val="none"/>
        </w:rPr>
        <w:t xml:space="preserve"> days of raising invoice</w:t>
      </w:r>
    </w:p>
    <w:p w14:paraId="6F53EC9E" w14:textId="77B6B4AB" w:rsidR="00EB588D" w:rsidRPr="00ED0AF7" w:rsidRDefault="00EB588D" w:rsidP="00ED0AF7">
      <w:pPr>
        <w:spacing w:after="0"/>
        <w:rPr>
          <w:sz w:val="20"/>
          <w:szCs w:val="20"/>
        </w:rPr>
      </w:pPr>
      <w:r w:rsidRPr="00ED0AF7">
        <w:rPr>
          <w:b/>
          <w:bCs/>
        </w:rPr>
        <w:t xml:space="preserve">5. </w:t>
      </w:r>
      <w:r w:rsidR="000D1B93" w:rsidRPr="00ED0AF7">
        <w:rPr>
          <w:b/>
          <w:bCs/>
        </w:rPr>
        <w:t>Duration</w:t>
      </w:r>
      <w:r w:rsidR="000A41F8" w:rsidRPr="00ED0AF7">
        <w:rPr>
          <w:b/>
          <w:bCs/>
        </w:rPr>
        <w:tab/>
      </w:r>
    </w:p>
    <w:p w14:paraId="01A95FB7" w14:textId="42608C9D" w:rsidR="00EB588D" w:rsidRDefault="00EB588D" w:rsidP="000D1B93">
      <w:pPr>
        <w:spacing w:after="0"/>
        <w:jc w:val="both"/>
        <w:rPr>
          <w:sz w:val="20"/>
          <w:szCs w:val="20"/>
        </w:rPr>
      </w:pPr>
      <w:r w:rsidRPr="00E1251B">
        <w:rPr>
          <w:sz w:val="20"/>
          <w:szCs w:val="20"/>
        </w:rPr>
        <w:t xml:space="preserve">The </w:t>
      </w:r>
      <w:r w:rsidR="000D1B93" w:rsidRPr="00E1251B">
        <w:rPr>
          <w:sz w:val="20"/>
          <w:szCs w:val="20"/>
        </w:rPr>
        <w:t xml:space="preserve">initial service </w:t>
      </w:r>
      <w:r w:rsidRPr="00E1251B">
        <w:rPr>
          <w:sz w:val="20"/>
          <w:szCs w:val="20"/>
        </w:rPr>
        <w:t xml:space="preserve">contract </w:t>
      </w:r>
      <w:r w:rsidR="000D1B93" w:rsidRPr="00E1251B">
        <w:rPr>
          <w:sz w:val="20"/>
          <w:szCs w:val="20"/>
        </w:rPr>
        <w:t>is envisaged to be for 24 months from the date on which it enters force (expected to be beginning of 2025). After this period has expired the contract may be extended (with or without amendments) or terminated.</w:t>
      </w:r>
    </w:p>
    <w:p w14:paraId="78AD7165" w14:textId="77777777" w:rsidR="00375FB3" w:rsidRPr="00EB588D" w:rsidRDefault="00375FB3" w:rsidP="000D1B93">
      <w:pPr>
        <w:spacing w:after="0"/>
        <w:jc w:val="both"/>
      </w:pPr>
    </w:p>
    <w:p w14:paraId="5A7C95D3" w14:textId="4F771DEA" w:rsidR="00EB588D" w:rsidRPr="00E1251B" w:rsidRDefault="00EB588D" w:rsidP="00EB588D">
      <w:pPr>
        <w:spacing w:after="0"/>
        <w:rPr>
          <w:b/>
          <w:bCs/>
        </w:rPr>
      </w:pPr>
      <w:r w:rsidRPr="00E1251B">
        <w:rPr>
          <w:b/>
          <w:bCs/>
        </w:rPr>
        <w:t xml:space="preserve">8. </w:t>
      </w:r>
      <w:r w:rsidR="00C62F09" w:rsidRPr="00E1251B">
        <w:rPr>
          <w:b/>
          <w:bCs/>
        </w:rPr>
        <w:t xml:space="preserve">Quote </w:t>
      </w:r>
      <w:r w:rsidRPr="00E1251B">
        <w:rPr>
          <w:b/>
          <w:bCs/>
        </w:rPr>
        <w:t>Submission Format</w:t>
      </w:r>
    </w:p>
    <w:p w14:paraId="788CAACC" w14:textId="24E9E7F6" w:rsidR="00EB588D" w:rsidRPr="00E1251B" w:rsidRDefault="00C62F09" w:rsidP="00C62F09">
      <w:pPr>
        <w:spacing w:after="0"/>
        <w:jc w:val="both"/>
        <w:rPr>
          <w:sz w:val="20"/>
          <w:szCs w:val="20"/>
        </w:rPr>
      </w:pPr>
      <w:r w:rsidRPr="00E1251B">
        <w:rPr>
          <w:sz w:val="20"/>
          <w:szCs w:val="20"/>
        </w:rPr>
        <w:t>Interested travel agencies</w:t>
      </w:r>
      <w:r w:rsidR="00EB588D" w:rsidRPr="00E1251B">
        <w:rPr>
          <w:sz w:val="20"/>
          <w:szCs w:val="20"/>
        </w:rPr>
        <w:t xml:space="preserve"> </w:t>
      </w:r>
      <w:r w:rsidRPr="00E1251B">
        <w:rPr>
          <w:sz w:val="20"/>
          <w:szCs w:val="20"/>
        </w:rPr>
        <w:t xml:space="preserve">are required to </w:t>
      </w:r>
      <w:r w:rsidR="00EB588D" w:rsidRPr="00E1251B">
        <w:rPr>
          <w:sz w:val="20"/>
          <w:szCs w:val="20"/>
        </w:rPr>
        <w:t>submit their quotations</w:t>
      </w:r>
      <w:r w:rsidRPr="00E1251B">
        <w:rPr>
          <w:sz w:val="20"/>
          <w:szCs w:val="20"/>
        </w:rPr>
        <w:t>, which must include the following (but are not limited to)</w:t>
      </w:r>
      <w:r w:rsidR="00EB588D" w:rsidRPr="00E1251B">
        <w:rPr>
          <w:sz w:val="20"/>
          <w:szCs w:val="20"/>
        </w:rPr>
        <w:t>:</w:t>
      </w:r>
    </w:p>
    <w:tbl>
      <w:tblPr>
        <w:tblW w:w="92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4"/>
        <w:gridCol w:w="6259"/>
        <w:gridCol w:w="2143"/>
      </w:tblGrid>
      <w:tr w:rsidR="00EB588D" w:rsidRPr="00E1251B" w14:paraId="450810B2" w14:textId="77777777" w:rsidTr="00BD1466">
        <w:trPr>
          <w:trHeight w:val="281"/>
          <w:tblHeader/>
          <w:tblCellSpacing w:w="15" w:type="dxa"/>
        </w:trPr>
        <w:tc>
          <w:tcPr>
            <w:tcW w:w="0" w:type="auto"/>
            <w:vAlign w:val="center"/>
            <w:hideMark/>
          </w:tcPr>
          <w:p w14:paraId="47814A92" w14:textId="4390C9FF" w:rsidR="00EB588D" w:rsidRPr="00E1251B" w:rsidRDefault="00EB588D" w:rsidP="00EB588D">
            <w:pPr>
              <w:spacing w:after="0"/>
              <w:rPr>
                <w:b/>
                <w:bCs/>
                <w:sz w:val="20"/>
                <w:szCs w:val="20"/>
              </w:rPr>
            </w:pPr>
            <w:r w:rsidRPr="00E1251B">
              <w:rPr>
                <w:b/>
                <w:bCs/>
                <w:sz w:val="20"/>
                <w:szCs w:val="20"/>
              </w:rPr>
              <w:t>S.</w:t>
            </w:r>
            <w:r w:rsidR="00BD1466" w:rsidRPr="00E1251B">
              <w:rPr>
                <w:b/>
                <w:bCs/>
                <w:sz w:val="20"/>
                <w:szCs w:val="20"/>
              </w:rPr>
              <w:t xml:space="preserve"> </w:t>
            </w:r>
            <w:r w:rsidRPr="00E1251B">
              <w:rPr>
                <w:b/>
                <w:bCs/>
                <w:sz w:val="20"/>
                <w:szCs w:val="20"/>
              </w:rPr>
              <w:t>No</w:t>
            </w:r>
          </w:p>
        </w:tc>
        <w:tc>
          <w:tcPr>
            <w:tcW w:w="6229" w:type="dxa"/>
            <w:vAlign w:val="center"/>
            <w:hideMark/>
          </w:tcPr>
          <w:p w14:paraId="4616A39F" w14:textId="77777777" w:rsidR="00EB588D" w:rsidRPr="00E1251B" w:rsidRDefault="00EB588D" w:rsidP="00EB588D">
            <w:pPr>
              <w:spacing w:after="0"/>
              <w:rPr>
                <w:b/>
                <w:bCs/>
                <w:sz w:val="20"/>
                <w:szCs w:val="20"/>
              </w:rPr>
            </w:pPr>
            <w:r w:rsidRPr="00E1251B">
              <w:rPr>
                <w:b/>
                <w:bCs/>
                <w:sz w:val="20"/>
                <w:szCs w:val="20"/>
              </w:rPr>
              <w:t>Details</w:t>
            </w:r>
          </w:p>
        </w:tc>
        <w:tc>
          <w:tcPr>
            <w:tcW w:w="2098" w:type="dxa"/>
            <w:vAlign w:val="center"/>
            <w:hideMark/>
          </w:tcPr>
          <w:p w14:paraId="6D8FE9C5" w14:textId="21366E09" w:rsidR="00EB588D" w:rsidRPr="00E1251B" w:rsidRDefault="00EB588D" w:rsidP="00962E89">
            <w:pPr>
              <w:spacing w:after="0"/>
              <w:jc w:val="center"/>
              <w:rPr>
                <w:b/>
                <w:bCs/>
                <w:sz w:val="20"/>
                <w:szCs w:val="20"/>
              </w:rPr>
            </w:pPr>
            <w:r w:rsidRPr="00E1251B">
              <w:rPr>
                <w:b/>
                <w:bCs/>
                <w:sz w:val="20"/>
                <w:szCs w:val="20"/>
              </w:rPr>
              <w:t>Amount</w:t>
            </w:r>
            <w:r w:rsidR="00365E81">
              <w:rPr>
                <w:b/>
                <w:bCs/>
                <w:sz w:val="20"/>
                <w:szCs w:val="20"/>
              </w:rPr>
              <w:t xml:space="preserve"> as per vehicle Type</w:t>
            </w:r>
          </w:p>
        </w:tc>
      </w:tr>
      <w:tr w:rsidR="00EB588D" w:rsidRPr="00E1251B" w14:paraId="78FC0865" w14:textId="77777777" w:rsidTr="00BD1466">
        <w:trPr>
          <w:trHeight w:val="270"/>
          <w:tblCellSpacing w:w="15" w:type="dxa"/>
        </w:trPr>
        <w:tc>
          <w:tcPr>
            <w:tcW w:w="0" w:type="auto"/>
            <w:vAlign w:val="center"/>
            <w:hideMark/>
          </w:tcPr>
          <w:p w14:paraId="61754651" w14:textId="7B5B1405" w:rsidR="00EB588D" w:rsidRPr="00E1251B" w:rsidRDefault="002E2E28" w:rsidP="00EB588D">
            <w:pPr>
              <w:spacing w:after="0"/>
              <w:rPr>
                <w:sz w:val="20"/>
                <w:szCs w:val="20"/>
              </w:rPr>
            </w:pPr>
            <w:r>
              <w:rPr>
                <w:sz w:val="20"/>
                <w:szCs w:val="20"/>
              </w:rPr>
              <w:t>1</w:t>
            </w:r>
          </w:p>
        </w:tc>
        <w:tc>
          <w:tcPr>
            <w:tcW w:w="6229" w:type="dxa"/>
            <w:vAlign w:val="center"/>
            <w:hideMark/>
          </w:tcPr>
          <w:p w14:paraId="6B178078" w14:textId="5A065A15" w:rsidR="00EB588D" w:rsidRPr="00E1251B" w:rsidRDefault="00EB588D" w:rsidP="00EB588D">
            <w:pPr>
              <w:spacing w:after="0"/>
              <w:rPr>
                <w:sz w:val="20"/>
                <w:szCs w:val="20"/>
              </w:rPr>
            </w:pPr>
            <w:r w:rsidRPr="00E1251B">
              <w:rPr>
                <w:sz w:val="20"/>
                <w:szCs w:val="20"/>
              </w:rPr>
              <w:t xml:space="preserve">Charges for booking </w:t>
            </w:r>
            <w:r w:rsidR="005A5695">
              <w:rPr>
                <w:sz w:val="20"/>
                <w:szCs w:val="20"/>
              </w:rPr>
              <w:t>Taxi</w:t>
            </w:r>
            <w:r w:rsidR="00916B85">
              <w:rPr>
                <w:sz w:val="20"/>
                <w:szCs w:val="20"/>
              </w:rPr>
              <w:t xml:space="preserve"> Local</w:t>
            </w:r>
            <w:r w:rsidR="00846412">
              <w:rPr>
                <w:sz w:val="20"/>
                <w:szCs w:val="20"/>
              </w:rPr>
              <w:t xml:space="preserve"> 4 hrs/40 Km</w:t>
            </w:r>
            <w:r w:rsidR="00CD69B5">
              <w:rPr>
                <w:sz w:val="20"/>
                <w:szCs w:val="20"/>
              </w:rPr>
              <w:t xml:space="preserve"> </w:t>
            </w:r>
          </w:p>
        </w:tc>
        <w:tc>
          <w:tcPr>
            <w:tcW w:w="2098" w:type="dxa"/>
            <w:vAlign w:val="center"/>
            <w:hideMark/>
          </w:tcPr>
          <w:p w14:paraId="7FA85CC6" w14:textId="77777777" w:rsidR="00EB588D" w:rsidRPr="00E1251B" w:rsidRDefault="00EB588D" w:rsidP="00EB588D">
            <w:pPr>
              <w:spacing w:after="0"/>
              <w:rPr>
                <w:sz w:val="20"/>
                <w:szCs w:val="20"/>
              </w:rPr>
            </w:pPr>
          </w:p>
        </w:tc>
      </w:tr>
      <w:tr w:rsidR="00EB588D" w:rsidRPr="00E1251B" w14:paraId="1ABE9EEF" w14:textId="77777777" w:rsidTr="00BD1466">
        <w:trPr>
          <w:trHeight w:val="270"/>
          <w:tblCellSpacing w:w="15" w:type="dxa"/>
        </w:trPr>
        <w:tc>
          <w:tcPr>
            <w:tcW w:w="0" w:type="auto"/>
            <w:vAlign w:val="center"/>
            <w:hideMark/>
          </w:tcPr>
          <w:p w14:paraId="77DAFD41" w14:textId="77777777" w:rsidR="00EB588D" w:rsidRPr="00E1251B" w:rsidRDefault="00EB588D" w:rsidP="00EB588D">
            <w:pPr>
              <w:spacing w:after="0"/>
              <w:rPr>
                <w:sz w:val="20"/>
                <w:szCs w:val="20"/>
              </w:rPr>
            </w:pPr>
            <w:r w:rsidRPr="00E1251B">
              <w:rPr>
                <w:sz w:val="20"/>
                <w:szCs w:val="20"/>
              </w:rPr>
              <w:t>2</w:t>
            </w:r>
          </w:p>
        </w:tc>
        <w:tc>
          <w:tcPr>
            <w:tcW w:w="6229" w:type="dxa"/>
            <w:vAlign w:val="center"/>
            <w:hideMark/>
          </w:tcPr>
          <w:p w14:paraId="27329C7A" w14:textId="7319BCEF" w:rsidR="00EB588D" w:rsidRPr="00E1251B" w:rsidRDefault="008567AD" w:rsidP="00EB588D">
            <w:pPr>
              <w:spacing w:after="0"/>
              <w:rPr>
                <w:sz w:val="20"/>
                <w:szCs w:val="20"/>
              </w:rPr>
            </w:pPr>
            <w:r w:rsidRPr="00E1251B">
              <w:rPr>
                <w:sz w:val="20"/>
                <w:szCs w:val="20"/>
              </w:rPr>
              <w:t xml:space="preserve">Charges for booking </w:t>
            </w:r>
            <w:r>
              <w:rPr>
                <w:sz w:val="20"/>
                <w:szCs w:val="20"/>
              </w:rPr>
              <w:t xml:space="preserve">Taxi Local 8 hrs/80 Km </w:t>
            </w:r>
          </w:p>
        </w:tc>
        <w:tc>
          <w:tcPr>
            <w:tcW w:w="2098" w:type="dxa"/>
            <w:vAlign w:val="center"/>
            <w:hideMark/>
          </w:tcPr>
          <w:p w14:paraId="5BA9C385" w14:textId="77777777" w:rsidR="00EB588D" w:rsidRPr="00E1251B" w:rsidRDefault="00EB588D" w:rsidP="00EB588D">
            <w:pPr>
              <w:spacing w:after="0"/>
              <w:rPr>
                <w:sz w:val="20"/>
                <w:szCs w:val="20"/>
              </w:rPr>
            </w:pPr>
          </w:p>
        </w:tc>
      </w:tr>
      <w:tr w:rsidR="00EB588D" w:rsidRPr="00E1251B" w14:paraId="4D1AD03F" w14:textId="77777777" w:rsidTr="00BD1466">
        <w:trPr>
          <w:trHeight w:val="281"/>
          <w:tblCellSpacing w:w="15" w:type="dxa"/>
        </w:trPr>
        <w:tc>
          <w:tcPr>
            <w:tcW w:w="0" w:type="auto"/>
            <w:vAlign w:val="center"/>
            <w:hideMark/>
          </w:tcPr>
          <w:p w14:paraId="1DE3F398" w14:textId="77777777" w:rsidR="00EB588D" w:rsidRPr="00E1251B" w:rsidRDefault="00EB588D" w:rsidP="00EB588D">
            <w:pPr>
              <w:spacing w:after="0"/>
              <w:rPr>
                <w:sz w:val="20"/>
                <w:szCs w:val="20"/>
              </w:rPr>
            </w:pPr>
            <w:r w:rsidRPr="00E1251B">
              <w:rPr>
                <w:sz w:val="20"/>
                <w:szCs w:val="20"/>
              </w:rPr>
              <w:t>3</w:t>
            </w:r>
          </w:p>
        </w:tc>
        <w:tc>
          <w:tcPr>
            <w:tcW w:w="6229" w:type="dxa"/>
            <w:vAlign w:val="center"/>
            <w:hideMark/>
          </w:tcPr>
          <w:p w14:paraId="4D04CD9C" w14:textId="76C6E980" w:rsidR="00EB588D" w:rsidRPr="00E1251B" w:rsidRDefault="008567AD" w:rsidP="00EB588D">
            <w:pPr>
              <w:spacing w:after="0"/>
              <w:rPr>
                <w:sz w:val="20"/>
                <w:szCs w:val="20"/>
              </w:rPr>
            </w:pPr>
            <w:r w:rsidRPr="00E1251B">
              <w:rPr>
                <w:sz w:val="20"/>
                <w:szCs w:val="20"/>
              </w:rPr>
              <w:t xml:space="preserve">Charges for booking </w:t>
            </w:r>
            <w:r>
              <w:rPr>
                <w:sz w:val="20"/>
                <w:szCs w:val="20"/>
              </w:rPr>
              <w:t xml:space="preserve">Taxi </w:t>
            </w:r>
            <w:r w:rsidR="000A093D">
              <w:rPr>
                <w:sz w:val="20"/>
                <w:szCs w:val="20"/>
              </w:rPr>
              <w:t>Outstation</w:t>
            </w:r>
          </w:p>
        </w:tc>
        <w:tc>
          <w:tcPr>
            <w:tcW w:w="2098" w:type="dxa"/>
            <w:vAlign w:val="center"/>
            <w:hideMark/>
          </w:tcPr>
          <w:p w14:paraId="4C50A6C6" w14:textId="77777777" w:rsidR="00EB588D" w:rsidRPr="00E1251B" w:rsidRDefault="00EB588D" w:rsidP="00EB588D">
            <w:pPr>
              <w:spacing w:after="0"/>
              <w:rPr>
                <w:sz w:val="20"/>
                <w:szCs w:val="20"/>
              </w:rPr>
            </w:pPr>
          </w:p>
        </w:tc>
      </w:tr>
      <w:tr w:rsidR="00EB588D" w:rsidRPr="00E1251B" w14:paraId="7A07EB2F" w14:textId="77777777" w:rsidTr="00BD1466">
        <w:trPr>
          <w:trHeight w:val="270"/>
          <w:tblCellSpacing w:w="15" w:type="dxa"/>
        </w:trPr>
        <w:tc>
          <w:tcPr>
            <w:tcW w:w="0" w:type="auto"/>
            <w:vAlign w:val="center"/>
            <w:hideMark/>
          </w:tcPr>
          <w:p w14:paraId="18B3E452" w14:textId="77777777" w:rsidR="00EB588D" w:rsidRPr="00E1251B" w:rsidRDefault="00EB588D" w:rsidP="00EB588D">
            <w:pPr>
              <w:spacing w:after="0"/>
              <w:rPr>
                <w:sz w:val="20"/>
                <w:szCs w:val="20"/>
              </w:rPr>
            </w:pPr>
            <w:r w:rsidRPr="00E1251B">
              <w:rPr>
                <w:sz w:val="20"/>
                <w:szCs w:val="20"/>
              </w:rPr>
              <w:t>4</w:t>
            </w:r>
          </w:p>
        </w:tc>
        <w:tc>
          <w:tcPr>
            <w:tcW w:w="6229" w:type="dxa"/>
            <w:vAlign w:val="center"/>
            <w:hideMark/>
          </w:tcPr>
          <w:p w14:paraId="484AD2B0" w14:textId="03A6A8AE" w:rsidR="00EB588D" w:rsidRPr="00E1251B" w:rsidRDefault="008567AD" w:rsidP="00EB588D">
            <w:pPr>
              <w:spacing w:after="0"/>
              <w:rPr>
                <w:sz w:val="20"/>
                <w:szCs w:val="20"/>
              </w:rPr>
            </w:pPr>
            <w:r>
              <w:rPr>
                <w:sz w:val="20"/>
                <w:szCs w:val="20"/>
              </w:rPr>
              <w:t>Extra Km</w:t>
            </w:r>
            <w:r w:rsidR="00C03048">
              <w:rPr>
                <w:sz w:val="20"/>
                <w:szCs w:val="20"/>
              </w:rPr>
              <w:t xml:space="preserve"> </w:t>
            </w:r>
          </w:p>
        </w:tc>
        <w:tc>
          <w:tcPr>
            <w:tcW w:w="2098" w:type="dxa"/>
            <w:vAlign w:val="center"/>
            <w:hideMark/>
          </w:tcPr>
          <w:p w14:paraId="79818CEA" w14:textId="77777777" w:rsidR="00EB588D" w:rsidRPr="00E1251B" w:rsidRDefault="00EB588D" w:rsidP="00EB588D">
            <w:pPr>
              <w:spacing w:after="0"/>
              <w:rPr>
                <w:sz w:val="20"/>
                <w:szCs w:val="20"/>
              </w:rPr>
            </w:pPr>
          </w:p>
        </w:tc>
      </w:tr>
      <w:tr w:rsidR="00EB588D" w:rsidRPr="00E1251B" w14:paraId="7E4D64B5" w14:textId="77777777" w:rsidTr="00BD1466">
        <w:trPr>
          <w:trHeight w:val="281"/>
          <w:tblCellSpacing w:w="15" w:type="dxa"/>
        </w:trPr>
        <w:tc>
          <w:tcPr>
            <w:tcW w:w="0" w:type="auto"/>
            <w:vAlign w:val="center"/>
            <w:hideMark/>
          </w:tcPr>
          <w:p w14:paraId="1CD665C9" w14:textId="77777777" w:rsidR="00EB588D" w:rsidRPr="00E1251B" w:rsidRDefault="00EB588D" w:rsidP="00EB588D">
            <w:pPr>
              <w:spacing w:after="0"/>
              <w:rPr>
                <w:sz w:val="20"/>
                <w:szCs w:val="20"/>
              </w:rPr>
            </w:pPr>
            <w:r w:rsidRPr="00E1251B">
              <w:rPr>
                <w:sz w:val="20"/>
                <w:szCs w:val="20"/>
              </w:rPr>
              <w:t>5</w:t>
            </w:r>
          </w:p>
        </w:tc>
        <w:tc>
          <w:tcPr>
            <w:tcW w:w="6229" w:type="dxa"/>
            <w:vAlign w:val="center"/>
            <w:hideMark/>
          </w:tcPr>
          <w:p w14:paraId="680B7F4C" w14:textId="2C82CB32" w:rsidR="00EB588D" w:rsidRPr="00E1251B" w:rsidRDefault="008567AD" w:rsidP="00EB588D">
            <w:pPr>
              <w:spacing w:after="0"/>
              <w:rPr>
                <w:sz w:val="20"/>
                <w:szCs w:val="20"/>
              </w:rPr>
            </w:pPr>
            <w:r>
              <w:rPr>
                <w:sz w:val="20"/>
                <w:szCs w:val="20"/>
              </w:rPr>
              <w:t>Extra Hour</w:t>
            </w:r>
          </w:p>
        </w:tc>
        <w:tc>
          <w:tcPr>
            <w:tcW w:w="2098" w:type="dxa"/>
            <w:vAlign w:val="center"/>
            <w:hideMark/>
          </w:tcPr>
          <w:p w14:paraId="1C1F780E" w14:textId="77777777" w:rsidR="00EB588D" w:rsidRPr="00E1251B" w:rsidRDefault="00EB588D" w:rsidP="00EB588D">
            <w:pPr>
              <w:spacing w:after="0"/>
              <w:rPr>
                <w:sz w:val="20"/>
                <w:szCs w:val="20"/>
              </w:rPr>
            </w:pPr>
          </w:p>
        </w:tc>
      </w:tr>
      <w:tr w:rsidR="00EB588D" w:rsidRPr="00E1251B" w14:paraId="483DE6DE" w14:textId="77777777" w:rsidTr="00BD1466">
        <w:trPr>
          <w:trHeight w:val="270"/>
          <w:tblCellSpacing w:w="15" w:type="dxa"/>
        </w:trPr>
        <w:tc>
          <w:tcPr>
            <w:tcW w:w="0" w:type="auto"/>
            <w:vAlign w:val="center"/>
            <w:hideMark/>
          </w:tcPr>
          <w:p w14:paraId="7A1D79B9" w14:textId="77777777" w:rsidR="00EB588D" w:rsidRPr="00E1251B" w:rsidRDefault="00EB588D" w:rsidP="00EB588D">
            <w:pPr>
              <w:spacing w:after="0"/>
              <w:rPr>
                <w:sz w:val="20"/>
                <w:szCs w:val="20"/>
              </w:rPr>
            </w:pPr>
            <w:r w:rsidRPr="00E1251B">
              <w:rPr>
                <w:sz w:val="20"/>
                <w:szCs w:val="20"/>
              </w:rPr>
              <w:t>6</w:t>
            </w:r>
          </w:p>
        </w:tc>
        <w:tc>
          <w:tcPr>
            <w:tcW w:w="6229" w:type="dxa"/>
            <w:vAlign w:val="center"/>
            <w:hideMark/>
          </w:tcPr>
          <w:p w14:paraId="57D3A5B7" w14:textId="48931E62" w:rsidR="00EB588D" w:rsidRPr="00E1251B" w:rsidRDefault="008567AD" w:rsidP="00EB588D">
            <w:pPr>
              <w:spacing w:after="0"/>
              <w:rPr>
                <w:sz w:val="20"/>
                <w:szCs w:val="20"/>
              </w:rPr>
            </w:pPr>
            <w:r>
              <w:rPr>
                <w:sz w:val="20"/>
                <w:szCs w:val="20"/>
              </w:rPr>
              <w:t>Out station Night Charges</w:t>
            </w:r>
          </w:p>
        </w:tc>
        <w:tc>
          <w:tcPr>
            <w:tcW w:w="2098" w:type="dxa"/>
            <w:vAlign w:val="center"/>
            <w:hideMark/>
          </w:tcPr>
          <w:p w14:paraId="6D8952E4" w14:textId="77777777" w:rsidR="00EB588D" w:rsidRPr="00E1251B" w:rsidRDefault="00EB588D" w:rsidP="00EB588D">
            <w:pPr>
              <w:spacing w:after="0"/>
              <w:rPr>
                <w:sz w:val="20"/>
                <w:szCs w:val="20"/>
              </w:rPr>
            </w:pPr>
          </w:p>
        </w:tc>
      </w:tr>
      <w:tr w:rsidR="00EB588D" w:rsidRPr="00E1251B" w14:paraId="0F5931E6" w14:textId="77777777" w:rsidTr="00BD1466">
        <w:trPr>
          <w:trHeight w:val="281"/>
          <w:tblCellSpacing w:w="15" w:type="dxa"/>
        </w:trPr>
        <w:tc>
          <w:tcPr>
            <w:tcW w:w="0" w:type="auto"/>
            <w:vAlign w:val="center"/>
            <w:hideMark/>
          </w:tcPr>
          <w:p w14:paraId="09CEBE2D" w14:textId="77777777" w:rsidR="00EB588D" w:rsidRPr="00E1251B" w:rsidRDefault="00EB588D" w:rsidP="00EB588D">
            <w:pPr>
              <w:spacing w:after="0"/>
              <w:rPr>
                <w:sz w:val="20"/>
                <w:szCs w:val="20"/>
              </w:rPr>
            </w:pPr>
            <w:r w:rsidRPr="00E1251B">
              <w:rPr>
                <w:sz w:val="20"/>
                <w:szCs w:val="20"/>
              </w:rPr>
              <w:t>7</w:t>
            </w:r>
          </w:p>
        </w:tc>
        <w:tc>
          <w:tcPr>
            <w:tcW w:w="6229" w:type="dxa"/>
            <w:vAlign w:val="center"/>
            <w:hideMark/>
          </w:tcPr>
          <w:p w14:paraId="5B626A8F" w14:textId="60A839FB" w:rsidR="00EB588D" w:rsidRPr="00E1251B" w:rsidRDefault="00716B40" w:rsidP="00EB588D">
            <w:pPr>
              <w:spacing w:after="0"/>
              <w:rPr>
                <w:sz w:val="20"/>
                <w:szCs w:val="20"/>
              </w:rPr>
            </w:pPr>
            <w:r>
              <w:rPr>
                <w:sz w:val="20"/>
                <w:szCs w:val="20"/>
              </w:rPr>
              <w:t>Other Terms</w:t>
            </w:r>
            <w:r w:rsidR="00CE12BC">
              <w:rPr>
                <w:sz w:val="20"/>
                <w:szCs w:val="20"/>
              </w:rPr>
              <w:t>,</w:t>
            </w:r>
            <w:r w:rsidR="00264F71">
              <w:rPr>
                <w:sz w:val="20"/>
                <w:szCs w:val="20"/>
              </w:rPr>
              <w:t xml:space="preserve"> If any</w:t>
            </w:r>
          </w:p>
        </w:tc>
        <w:tc>
          <w:tcPr>
            <w:tcW w:w="2098" w:type="dxa"/>
            <w:vAlign w:val="center"/>
            <w:hideMark/>
          </w:tcPr>
          <w:p w14:paraId="699EE236" w14:textId="77777777" w:rsidR="00EB588D" w:rsidRPr="00E1251B" w:rsidRDefault="00EB588D" w:rsidP="00EB588D">
            <w:pPr>
              <w:spacing w:after="0"/>
              <w:rPr>
                <w:sz w:val="20"/>
                <w:szCs w:val="20"/>
              </w:rPr>
            </w:pPr>
          </w:p>
        </w:tc>
      </w:tr>
    </w:tbl>
    <w:p w14:paraId="6BDBF6D4" w14:textId="30E439C9" w:rsidR="00EB588D" w:rsidRPr="00E1251B" w:rsidRDefault="00EB588D" w:rsidP="00EB588D">
      <w:pPr>
        <w:spacing w:after="0"/>
        <w:rPr>
          <w:b/>
          <w:bCs/>
        </w:rPr>
      </w:pPr>
      <w:r w:rsidRPr="00E1251B">
        <w:rPr>
          <w:b/>
          <w:bCs/>
        </w:rPr>
        <w:t>9. Submission Deadline</w:t>
      </w:r>
    </w:p>
    <w:p w14:paraId="70991EA5" w14:textId="2BAAB143" w:rsidR="00EB588D" w:rsidRDefault="00EB588D" w:rsidP="00C62F09">
      <w:pPr>
        <w:spacing w:after="0"/>
        <w:jc w:val="both"/>
        <w:rPr>
          <w:sz w:val="20"/>
          <w:szCs w:val="20"/>
        </w:rPr>
      </w:pPr>
      <w:r w:rsidRPr="00E1251B">
        <w:rPr>
          <w:sz w:val="20"/>
          <w:szCs w:val="20"/>
        </w:rPr>
        <w:t xml:space="preserve">Interested travel agencies must submit their proposals by </w:t>
      </w:r>
      <w:r w:rsidR="001824C1">
        <w:rPr>
          <w:sz w:val="20"/>
          <w:szCs w:val="20"/>
        </w:rPr>
        <w:t>8</w:t>
      </w:r>
      <w:r w:rsidRPr="00E1251B">
        <w:rPr>
          <w:sz w:val="20"/>
          <w:szCs w:val="20"/>
        </w:rPr>
        <w:t xml:space="preserve">th </w:t>
      </w:r>
      <w:r w:rsidR="001824C1">
        <w:rPr>
          <w:sz w:val="20"/>
          <w:szCs w:val="20"/>
        </w:rPr>
        <w:t>February</w:t>
      </w:r>
      <w:r w:rsidRPr="00E1251B">
        <w:rPr>
          <w:sz w:val="20"/>
          <w:szCs w:val="20"/>
        </w:rPr>
        <w:t xml:space="preserve"> 2025 via email to the procurement tea</w:t>
      </w:r>
      <w:r w:rsidR="00375FB3">
        <w:rPr>
          <w:sz w:val="20"/>
          <w:szCs w:val="20"/>
        </w:rPr>
        <w:t xml:space="preserve">m at </w:t>
      </w:r>
      <w:hyperlink r:id="rId8" w:history="1">
        <w:r w:rsidR="00375FB3" w:rsidRPr="008221BB">
          <w:rPr>
            <w:rStyle w:val="Hyperlink"/>
            <w:sz w:val="20"/>
            <w:szCs w:val="20"/>
          </w:rPr>
          <w:t>procurement@ippf.org</w:t>
        </w:r>
      </w:hyperlink>
      <w:r w:rsidR="00375FB3">
        <w:rPr>
          <w:sz w:val="20"/>
          <w:szCs w:val="20"/>
        </w:rPr>
        <w:t xml:space="preserve"> </w:t>
      </w:r>
    </w:p>
    <w:p w14:paraId="676BD7BA" w14:textId="77777777" w:rsidR="00375FB3" w:rsidRPr="00EB588D" w:rsidRDefault="00375FB3" w:rsidP="00C62F09">
      <w:pPr>
        <w:spacing w:after="0"/>
        <w:jc w:val="both"/>
      </w:pPr>
    </w:p>
    <w:p w14:paraId="3D39950E" w14:textId="77777777" w:rsidR="00EB588D" w:rsidRPr="00E1251B" w:rsidRDefault="00EB588D" w:rsidP="00EB588D">
      <w:pPr>
        <w:spacing w:after="0"/>
        <w:rPr>
          <w:b/>
          <w:bCs/>
        </w:rPr>
      </w:pPr>
      <w:r w:rsidRPr="00E1251B">
        <w:rPr>
          <w:b/>
          <w:bCs/>
        </w:rPr>
        <w:t>10. Evaluation Criteria</w:t>
      </w:r>
    </w:p>
    <w:p w14:paraId="2EB244A8" w14:textId="77777777" w:rsidR="00695AEC" w:rsidRDefault="00695AEC" w:rsidP="00695AEC">
      <w:pPr>
        <w:spacing w:after="0"/>
        <w:rPr>
          <w:sz w:val="20"/>
          <w:szCs w:val="20"/>
        </w:rPr>
      </w:pPr>
      <w:r w:rsidRPr="00F42036">
        <w:rPr>
          <w:sz w:val="20"/>
          <w:szCs w:val="20"/>
        </w:rPr>
        <w:t xml:space="preserve">The selection of the taxi service provider will be based on a </w:t>
      </w:r>
      <w:r w:rsidRPr="00F42036">
        <w:rPr>
          <w:b/>
          <w:bCs/>
          <w:sz w:val="20"/>
          <w:szCs w:val="20"/>
        </w:rPr>
        <w:t>comprehensive evaluation process</w:t>
      </w:r>
      <w:r w:rsidRPr="00F42036">
        <w:rPr>
          <w:sz w:val="20"/>
          <w:szCs w:val="20"/>
        </w:rPr>
        <w:t>, ensuring that the most qualified, reliable, and cost-effective provider is engaged. Proposals will be assessed against the following criteria:</w:t>
      </w:r>
    </w:p>
    <w:tbl>
      <w:tblPr>
        <w:tblStyle w:val="TableGrid"/>
        <w:tblW w:w="0" w:type="auto"/>
        <w:tblLook w:val="04A0" w:firstRow="1" w:lastRow="0" w:firstColumn="1" w:lastColumn="0" w:noHBand="0" w:noVBand="1"/>
      </w:tblPr>
      <w:tblGrid>
        <w:gridCol w:w="4508"/>
        <w:gridCol w:w="4508"/>
      </w:tblGrid>
      <w:tr w:rsidR="00695AEC" w14:paraId="4B006A37" w14:textId="77777777" w:rsidTr="00D73A47">
        <w:tc>
          <w:tcPr>
            <w:tcW w:w="4508" w:type="dxa"/>
          </w:tcPr>
          <w:p w14:paraId="08009FFA" w14:textId="77777777" w:rsidR="00695AEC" w:rsidRPr="00D73A47" w:rsidRDefault="00695AEC" w:rsidP="00D73A47">
            <w:pPr>
              <w:rPr>
                <w:b/>
                <w:bCs/>
                <w:sz w:val="20"/>
                <w:szCs w:val="20"/>
              </w:rPr>
            </w:pPr>
            <w:r w:rsidRPr="00D73A47">
              <w:rPr>
                <w:b/>
                <w:bCs/>
                <w:sz w:val="20"/>
                <w:szCs w:val="20"/>
              </w:rPr>
              <w:t>Technical evaluation</w:t>
            </w:r>
          </w:p>
        </w:tc>
        <w:tc>
          <w:tcPr>
            <w:tcW w:w="4508" w:type="dxa"/>
          </w:tcPr>
          <w:p w14:paraId="1B05DD1D" w14:textId="77777777" w:rsidR="00695AEC" w:rsidRPr="00D73A47" w:rsidRDefault="00695AEC" w:rsidP="00D73A47">
            <w:pPr>
              <w:rPr>
                <w:b/>
                <w:bCs/>
                <w:sz w:val="20"/>
                <w:szCs w:val="20"/>
              </w:rPr>
            </w:pPr>
            <w:r w:rsidRPr="00D73A47">
              <w:rPr>
                <w:b/>
                <w:bCs/>
                <w:sz w:val="20"/>
                <w:szCs w:val="20"/>
              </w:rPr>
              <w:t>Financial evaluation</w:t>
            </w:r>
          </w:p>
        </w:tc>
      </w:tr>
      <w:tr w:rsidR="00695AEC" w14:paraId="6A6EE60A" w14:textId="77777777" w:rsidTr="00D73A47">
        <w:tc>
          <w:tcPr>
            <w:tcW w:w="4508" w:type="dxa"/>
          </w:tcPr>
          <w:p w14:paraId="69F7A129" w14:textId="77777777" w:rsidR="00695AEC" w:rsidRDefault="00695AEC" w:rsidP="00D73A47">
            <w:pPr>
              <w:rPr>
                <w:sz w:val="20"/>
                <w:szCs w:val="20"/>
              </w:rPr>
            </w:pPr>
            <w:r w:rsidRPr="00F5230E">
              <w:rPr>
                <w:sz w:val="20"/>
                <w:szCs w:val="20"/>
              </w:rPr>
              <w:t>Experience &amp; Track Record</w:t>
            </w:r>
          </w:p>
        </w:tc>
        <w:tc>
          <w:tcPr>
            <w:tcW w:w="4508" w:type="dxa"/>
          </w:tcPr>
          <w:p w14:paraId="5BEE9249" w14:textId="77777777" w:rsidR="00695AEC" w:rsidRDefault="00695AEC" w:rsidP="00D73A47">
            <w:pPr>
              <w:rPr>
                <w:sz w:val="20"/>
                <w:szCs w:val="20"/>
              </w:rPr>
            </w:pPr>
            <w:r w:rsidRPr="0043334E">
              <w:rPr>
                <w:sz w:val="20"/>
                <w:szCs w:val="20"/>
              </w:rPr>
              <w:t>Cost Competitiveness</w:t>
            </w:r>
          </w:p>
        </w:tc>
      </w:tr>
      <w:tr w:rsidR="00695AEC" w14:paraId="626D3140" w14:textId="77777777" w:rsidTr="00D73A47">
        <w:tc>
          <w:tcPr>
            <w:tcW w:w="4508" w:type="dxa"/>
          </w:tcPr>
          <w:p w14:paraId="3B7C0093" w14:textId="77777777" w:rsidR="00695AEC" w:rsidRDefault="00695AEC" w:rsidP="00D73A47">
            <w:pPr>
              <w:rPr>
                <w:sz w:val="20"/>
                <w:szCs w:val="20"/>
              </w:rPr>
            </w:pPr>
            <w:r w:rsidRPr="00F5230E">
              <w:rPr>
                <w:sz w:val="20"/>
                <w:szCs w:val="20"/>
              </w:rPr>
              <w:t>Fleet Quality &amp; Compliance</w:t>
            </w:r>
          </w:p>
        </w:tc>
        <w:tc>
          <w:tcPr>
            <w:tcW w:w="4508" w:type="dxa"/>
          </w:tcPr>
          <w:p w14:paraId="1F2ED34F" w14:textId="77777777" w:rsidR="00695AEC" w:rsidRDefault="00695AEC" w:rsidP="00D73A47">
            <w:pPr>
              <w:rPr>
                <w:sz w:val="20"/>
                <w:szCs w:val="20"/>
              </w:rPr>
            </w:pPr>
            <w:r w:rsidRPr="0043334E">
              <w:rPr>
                <w:sz w:val="20"/>
                <w:szCs w:val="20"/>
              </w:rPr>
              <w:t>Billing &amp; Payment Terms</w:t>
            </w:r>
          </w:p>
        </w:tc>
      </w:tr>
      <w:tr w:rsidR="00695AEC" w14:paraId="381DA9AF" w14:textId="77777777" w:rsidTr="00D73A47">
        <w:tc>
          <w:tcPr>
            <w:tcW w:w="4508" w:type="dxa"/>
          </w:tcPr>
          <w:p w14:paraId="12073CE5" w14:textId="77777777" w:rsidR="00695AEC" w:rsidRDefault="00695AEC" w:rsidP="00D73A47">
            <w:pPr>
              <w:rPr>
                <w:sz w:val="20"/>
                <w:szCs w:val="20"/>
              </w:rPr>
            </w:pPr>
            <w:r w:rsidRPr="00F5230E">
              <w:rPr>
                <w:sz w:val="20"/>
                <w:szCs w:val="20"/>
              </w:rPr>
              <w:t>Driver Qualifications &amp; Training</w:t>
            </w:r>
          </w:p>
        </w:tc>
        <w:tc>
          <w:tcPr>
            <w:tcW w:w="4508" w:type="dxa"/>
          </w:tcPr>
          <w:p w14:paraId="3AB7CC19" w14:textId="77777777" w:rsidR="00695AEC" w:rsidRDefault="00695AEC" w:rsidP="00D73A47">
            <w:pPr>
              <w:rPr>
                <w:sz w:val="20"/>
                <w:szCs w:val="20"/>
              </w:rPr>
            </w:pPr>
            <w:r w:rsidRPr="0043334E">
              <w:rPr>
                <w:sz w:val="20"/>
                <w:szCs w:val="20"/>
              </w:rPr>
              <w:t>Additional Costs &amp; Discounts</w:t>
            </w:r>
          </w:p>
        </w:tc>
      </w:tr>
      <w:tr w:rsidR="00695AEC" w14:paraId="63E725CB" w14:textId="77777777" w:rsidTr="00D73A47">
        <w:tc>
          <w:tcPr>
            <w:tcW w:w="4508" w:type="dxa"/>
          </w:tcPr>
          <w:p w14:paraId="650366CE" w14:textId="77777777" w:rsidR="00695AEC" w:rsidRDefault="00695AEC" w:rsidP="00D73A47">
            <w:pPr>
              <w:rPr>
                <w:sz w:val="20"/>
                <w:szCs w:val="20"/>
              </w:rPr>
            </w:pPr>
            <w:r w:rsidRPr="00F5230E">
              <w:rPr>
                <w:sz w:val="20"/>
                <w:szCs w:val="20"/>
              </w:rPr>
              <w:t>Service Availability &amp; Responsiveness</w:t>
            </w:r>
          </w:p>
        </w:tc>
        <w:tc>
          <w:tcPr>
            <w:tcW w:w="4508" w:type="dxa"/>
          </w:tcPr>
          <w:p w14:paraId="4E8BCA92" w14:textId="77777777" w:rsidR="00695AEC" w:rsidRDefault="00695AEC" w:rsidP="00D73A47">
            <w:pPr>
              <w:rPr>
                <w:sz w:val="20"/>
                <w:szCs w:val="20"/>
              </w:rPr>
            </w:pPr>
          </w:p>
        </w:tc>
      </w:tr>
      <w:tr w:rsidR="00695AEC" w14:paraId="3A2CDC20" w14:textId="77777777" w:rsidTr="00D73A47">
        <w:tc>
          <w:tcPr>
            <w:tcW w:w="4508" w:type="dxa"/>
          </w:tcPr>
          <w:p w14:paraId="35A1C605" w14:textId="77777777" w:rsidR="00695AEC" w:rsidRDefault="00695AEC" w:rsidP="00D73A47">
            <w:pPr>
              <w:rPr>
                <w:sz w:val="20"/>
                <w:szCs w:val="20"/>
              </w:rPr>
            </w:pPr>
            <w:r w:rsidRPr="00A175F3">
              <w:rPr>
                <w:sz w:val="20"/>
                <w:szCs w:val="20"/>
              </w:rPr>
              <w:t>Technology &amp; Tracking System</w:t>
            </w:r>
          </w:p>
        </w:tc>
        <w:tc>
          <w:tcPr>
            <w:tcW w:w="4508" w:type="dxa"/>
          </w:tcPr>
          <w:p w14:paraId="1A368F87" w14:textId="77777777" w:rsidR="00695AEC" w:rsidRDefault="00695AEC" w:rsidP="00D73A47">
            <w:pPr>
              <w:rPr>
                <w:sz w:val="20"/>
                <w:szCs w:val="20"/>
              </w:rPr>
            </w:pPr>
          </w:p>
        </w:tc>
      </w:tr>
      <w:tr w:rsidR="00695AEC" w14:paraId="3865FC99" w14:textId="77777777" w:rsidTr="00D73A47">
        <w:tc>
          <w:tcPr>
            <w:tcW w:w="4508" w:type="dxa"/>
          </w:tcPr>
          <w:p w14:paraId="6605864C" w14:textId="77777777" w:rsidR="00695AEC" w:rsidRPr="00A175F3" w:rsidRDefault="00695AEC" w:rsidP="00D73A47">
            <w:pPr>
              <w:rPr>
                <w:sz w:val="20"/>
                <w:szCs w:val="20"/>
              </w:rPr>
            </w:pPr>
            <w:r w:rsidRPr="00054818">
              <w:rPr>
                <w:sz w:val="20"/>
                <w:szCs w:val="20"/>
              </w:rPr>
              <w:t>Value-Added Services &amp; Sustainability Measures</w:t>
            </w:r>
          </w:p>
        </w:tc>
        <w:tc>
          <w:tcPr>
            <w:tcW w:w="4508" w:type="dxa"/>
          </w:tcPr>
          <w:p w14:paraId="7CFE072B" w14:textId="77777777" w:rsidR="00695AEC" w:rsidRDefault="00695AEC" w:rsidP="00D73A47">
            <w:pPr>
              <w:rPr>
                <w:sz w:val="20"/>
                <w:szCs w:val="20"/>
              </w:rPr>
            </w:pPr>
          </w:p>
        </w:tc>
      </w:tr>
    </w:tbl>
    <w:p w14:paraId="41C9CF07" w14:textId="77777777" w:rsidR="00375FB3" w:rsidRPr="00E1251B" w:rsidRDefault="00375FB3" w:rsidP="008B5963">
      <w:pPr>
        <w:spacing w:after="0"/>
        <w:rPr>
          <w:sz w:val="20"/>
          <w:szCs w:val="20"/>
        </w:rPr>
      </w:pPr>
    </w:p>
    <w:p w14:paraId="4831E7E8" w14:textId="77777777" w:rsidR="00EB588D" w:rsidRPr="00E1251B" w:rsidRDefault="00EB588D" w:rsidP="00EB588D">
      <w:pPr>
        <w:spacing w:after="0"/>
        <w:rPr>
          <w:b/>
          <w:bCs/>
        </w:rPr>
      </w:pPr>
      <w:r w:rsidRPr="00E1251B">
        <w:rPr>
          <w:b/>
          <w:bCs/>
        </w:rPr>
        <w:t>11. Contact Information</w:t>
      </w:r>
    </w:p>
    <w:p w14:paraId="6313994D" w14:textId="2B5B7188" w:rsidR="00D77B58" w:rsidRPr="00E1251B" w:rsidRDefault="00EB588D" w:rsidP="00EB588D">
      <w:pPr>
        <w:spacing w:after="0"/>
        <w:rPr>
          <w:b/>
          <w:bCs/>
          <w:sz w:val="20"/>
          <w:szCs w:val="20"/>
        </w:rPr>
      </w:pPr>
      <w:r w:rsidRPr="00E1251B">
        <w:rPr>
          <w:b/>
          <w:bCs/>
          <w:sz w:val="20"/>
          <w:szCs w:val="20"/>
        </w:rPr>
        <w:t>For any queries or additional information, please contact:</w:t>
      </w:r>
      <w:r w:rsidRPr="00E1251B">
        <w:rPr>
          <w:b/>
          <w:bCs/>
          <w:sz w:val="20"/>
          <w:szCs w:val="20"/>
        </w:rPr>
        <w:br/>
      </w:r>
      <w:r w:rsidR="00D77B58" w:rsidRPr="00E1251B">
        <w:rPr>
          <w:b/>
          <w:bCs/>
          <w:sz w:val="20"/>
          <w:szCs w:val="20"/>
        </w:rPr>
        <w:t xml:space="preserve">Name of contact person: </w:t>
      </w:r>
      <w:r w:rsidR="00C62F09" w:rsidRPr="00E1251B">
        <w:rPr>
          <w:b/>
          <w:bCs/>
          <w:sz w:val="20"/>
          <w:szCs w:val="20"/>
        </w:rPr>
        <w:t>Jitendra Kumar</w:t>
      </w:r>
    </w:p>
    <w:p w14:paraId="701ADCA0" w14:textId="5B6ED2CD" w:rsidR="00D77B58" w:rsidRPr="00E1251B" w:rsidRDefault="00D77B58" w:rsidP="00EB588D">
      <w:pPr>
        <w:spacing w:after="0"/>
        <w:rPr>
          <w:b/>
          <w:bCs/>
          <w:sz w:val="20"/>
          <w:szCs w:val="20"/>
        </w:rPr>
      </w:pPr>
      <w:r w:rsidRPr="00E1251B">
        <w:rPr>
          <w:b/>
          <w:bCs/>
          <w:sz w:val="20"/>
          <w:szCs w:val="20"/>
        </w:rPr>
        <w:t xml:space="preserve">Mobile number: </w:t>
      </w:r>
      <w:r w:rsidR="00C62F09" w:rsidRPr="00E1251B">
        <w:rPr>
          <w:b/>
          <w:bCs/>
          <w:sz w:val="20"/>
          <w:szCs w:val="20"/>
        </w:rPr>
        <w:t>+91 95826 25067</w:t>
      </w:r>
    </w:p>
    <w:p w14:paraId="3D9A82FA" w14:textId="7E705F31" w:rsidR="00EB588D" w:rsidRDefault="00D77B58" w:rsidP="00EB588D">
      <w:pPr>
        <w:spacing w:after="0"/>
        <w:rPr>
          <w:b/>
          <w:bCs/>
          <w:sz w:val="20"/>
          <w:szCs w:val="20"/>
        </w:rPr>
      </w:pPr>
      <w:r w:rsidRPr="00E1251B">
        <w:rPr>
          <w:b/>
          <w:bCs/>
          <w:sz w:val="20"/>
          <w:szCs w:val="20"/>
        </w:rPr>
        <w:t xml:space="preserve">Email address: </w:t>
      </w:r>
      <w:hyperlink r:id="rId9" w:history="1">
        <w:r w:rsidR="00C62F09" w:rsidRPr="00E1251B">
          <w:rPr>
            <w:rStyle w:val="Hyperlink"/>
            <w:b/>
            <w:bCs/>
            <w:sz w:val="20"/>
            <w:szCs w:val="20"/>
          </w:rPr>
          <w:t>procurement@ippf.org</w:t>
        </w:r>
      </w:hyperlink>
      <w:r w:rsidR="00C62F09" w:rsidRPr="00E1251B">
        <w:rPr>
          <w:b/>
          <w:bCs/>
          <w:sz w:val="20"/>
          <w:szCs w:val="20"/>
        </w:rPr>
        <w:t xml:space="preserve"> </w:t>
      </w:r>
    </w:p>
    <w:p w14:paraId="3AAC6B65" w14:textId="77777777" w:rsidR="00250EC9" w:rsidRDefault="00250EC9" w:rsidP="00EB588D">
      <w:pPr>
        <w:spacing w:after="0"/>
        <w:rPr>
          <w:b/>
          <w:bCs/>
          <w:sz w:val="20"/>
          <w:szCs w:val="20"/>
        </w:rPr>
      </w:pPr>
    </w:p>
    <w:p w14:paraId="69F48A75" w14:textId="7F320607" w:rsidR="00A924FC" w:rsidRPr="004222F6" w:rsidRDefault="00A924FC" w:rsidP="001237CC">
      <w:pPr>
        <w:spacing w:after="0"/>
        <w:jc w:val="center"/>
        <w:rPr>
          <w:color w:val="0070C0"/>
          <w:sz w:val="20"/>
          <w:szCs w:val="20"/>
        </w:rPr>
      </w:pPr>
      <w:r w:rsidRPr="004222F6">
        <w:rPr>
          <w:color w:val="0070C0"/>
          <w:sz w:val="20"/>
          <w:szCs w:val="20"/>
        </w:rPr>
        <w:t>IPPF is committed to safeguarding and promoting the welfare of children, young people and vulnerable adults and expects all employees, volunteers, contractors and partners to share this commitment. Anyone employed with IPPF agrees to sign and adhere to IPPF’s Code of Conduct and Safeguarding (Children and Vulnerable Adults) Policy.</w:t>
      </w:r>
    </w:p>
    <w:sectPr w:rsidR="00A924FC" w:rsidRPr="004222F6" w:rsidSect="00EB5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EE7"/>
    <w:multiLevelType w:val="multilevel"/>
    <w:tmpl w:val="80EE9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52782"/>
    <w:multiLevelType w:val="hybridMultilevel"/>
    <w:tmpl w:val="C0F626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F604D9"/>
    <w:multiLevelType w:val="multilevel"/>
    <w:tmpl w:val="6456A96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20382C85"/>
    <w:multiLevelType w:val="multilevel"/>
    <w:tmpl w:val="5B06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873AF"/>
    <w:multiLevelType w:val="multilevel"/>
    <w:tmpl w:val="AE0EC8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303350A"/>
    <w:multiLevelType w:val="hybridMultilevel"/>
    <w:tmpl w:val="B2BA1C64"/>
    <w:lvl w:ilvl="0" w:tplc="37EE24BC">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BDB077C"/>
    <w:multiLevelType w:val="multilevel"/>
    <w:tmpl w:val="AF82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D16880"/>
    <w:multiLevelType w:val="multilevel"/>
    <w:tmpl w:val="8E6AE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E8A06AE"/>
    <w:multiLevelType w:val="multilevel"/>
    <w:tmpl w:val="069E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656A1"/>
    <w:multiLevelType w:val="multilevel"/>
    <w:tmpl w:val="AE0EC8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0B505BC"/>
    <w:multiLevelType w:val="multilevel"/>
    <w:tmpl w:val="648A6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E516BD"/>
    <w:multiLevelType w:val="multilevel"/>
    <w:tmpl w:val="E77A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AB3C14"/>
    <w:multiLevelType w:val="hybridMultilevel"/>
    <w:tmpl w:val="2CC292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9DB6B6D"/>
    <w:multiLevelType w:val="multilevel"/>
    <w:tmpl w:val="1E88B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697B83"/>
    <w:multiLevelType w:val="multilevel"/>
    <w:tmpl w:val="237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ED7210"/>
    <w:multiLevelType w:val="multilevel"/>
    <w:tmpl w:val="30E4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4E6194"/>
    <w:multiLevelType w:val="multilevel"/>
    <w:tmpl w:val="8FC873A6"/>
    <w:lvl w:ilvl="0">
      <w:start w:val="9"/>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0"/>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7" w15:restartNumberingAfterBreak="0">
    <w:nsid w:val="76C25100"/>
    <w:multiLevelType w:val="hybridMultilevel"/>
    <w:tmpl w:val="7BF83DF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DEB78F6"/>
    <w:multiLevelType w:val="hybridMultilevel"/>
    <w:tmpl w:val="A9721A8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50964036">
    <w:abstractNumId w:val="0"/>
  </w:num>
  <w:num w:numId="2" w16cid:durableId="1132986751">
    <w:abstractNumId w:val="13"/>
  </w:num>
  <w:num w:numId="3" w16cid:durableId="405149238">
    <w:abstractNumId w:val="10"/>
  </w:num>
  <w:num w:numId="4" w16cid:durableId="166948906">
    <w:abstractNumId w:val="11"/>
  </w:num>
  <w:num w:numId="5" w16cid:durableId="1371609380">
    <w:abstractNumId w:val="14"/>
  </w:num>
  <w:num w:numId="6" w16cid:durableId="1023170689">
    <w:abstractNumId w:val="3"/>
  </w:num>
  <w:num w:numId="7" w16cid:durableId="1301812370">
    <w:abstractNumId w:val="8"/>
  </w:num>
  <w:num w:numId="8" w16cid:durableId="2047638689">
    <w:abstractNumId w:val="17"/>
  </w:num>
  <w:num w:numId="9" w16cid:durableId="2052610858">
    <w:abstractNumId w:val="1"/>
  </w:num>
  <w:num w:numId="10" w16cid:durableId="1425347820">
    <w:abstractNumId w:val="12"/>
  </w:num>
  <w:num w:numId="11" w16cid:durableId="1525171461">
    <w:abstractNumId w:val="5"/>
  </w:num>
  <w:num w:numId="12" w16cid:durableId="972364262">
    <w:abstractNumId w:val="18"/>
  </w:num>
  <w:num w:numId="13" w16cid:durableId="1235623819">
    <w:abstractNumId w:val="2"/>
  </w:num>
  <w:num w:numId="14" w16cid:durableId="150565405">
    <w:abstractNumId w:val="16"/>
  </w:num>
  <w:num w:numId="15" w16cid:durableId="669916297">
    <w:abstractNumId w:val="4"/>
  </w:num>
  <w:num w:numId="16" w16cid:durableId="984046305">
    <w:abstractNumId w:val="15"/>
  </w:num>
  <w:num w:numId="17" w16cid:durableId="263612669">
    <w:abstractNumId w:val="7"/>
  </w:num>
  <w:num w:numId="18" w16cid:durableId="2076079417">
    <w:abstractNumId w:val="6"/>
  </w:num>
  <w:num w:numId="19" w16cid:durableId="911936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7C"/>
    <w:rsid w:val="00022609"/>
    <w:rsid w:val="00033BD0"/>
    <w:rsid w:val="00070CBA"/>
    <w:rsid w:val="000A093D"/>
    <w:rsid w:val="000A41F8"/>
    <w:rsid w:val="000D1B93"/>
    <w:rsid w:val="000D597F"/>
    <w:rsid w:val="000E78B5"/>
    <w:rsid w:val="001237CC"/>
    <w:rsid w:val="00142738"/>
    <w:rsid w:val="00147B8B"/>
    <w:rsid w:val="00151395"/>
    <w:rsid w:val="00151912"/>
    <w:rsid w:val="001824C1"/>
    <w:rsid w:val="001A1988"/>
    <w:rsid w:val="001F4C52"/>
    <w:rsid w:val="00231DD9"/>
    <w:rsid w:val="00250EC9"/>
    <w:rsid w:val="00252BFC"/>
    <w:rsid w:val="00264F71"/>
    <w:rsid w:val="002A5768"/>
    <w:rsid w:val="002A66E9"/>
    <w:rsid w:val="002E2E28"/>
    <w:rsid w:val="002F1C59"/>
    <w:rsid w:val="00336082"/>
    <w:rsid w:val="00351CA8"/>
    <w:rsid w:val="003614FA"/>
    <w:rsid w:val="00365E81"/>
    <w:rsid w:val="00372051"/>
    <w:rsid w:val="00375FB3"/>
    <w:rsid w:val="0039524A"/>
    <w:rsid w:val="004069ED"/>
    <w:rsid w:val="004222F6"/>
    <w:rsid w:val="004377A9"/>
    <w:rsid w:val="004611F7"/>
    <w:rsid w:val="00473E97"/>
    <w:rsid w:val="00476D43"/>
    <w:rsid w:val="00534130"/>
    <w:rsid w:val="0058358D"/>
    <w:rsid w:val="005A5695"/>
    <w:rsid w:val="005E7CBB"/>
    <w:rsid w:val="00624139"/>
    <w:rsid w:val="00657366"/>
    <w:rsid w:val="00695AEC"/>
    <w:rsid w:val="006C548A"/>
    <w:rsid w:val="006C678E"/>
    <w:rsid w:val="00716B40"/>
    <w:rsid w:val="00722447"/>
    <w:rsid w:val="00765C90"/>
    <w:rsid w:val="00771B96"/>
    <w:rsid w:val="0078204A"/>
    <w:rsid w:val="007915E1"/>
    <w:rsid w:val="00794D91"/>
    <w:rsid w:val="007A58F9"/>
    <w:rsid w:val="007B0C61"/>
    <w:rsid w:val="007E70FD"/>
    <w:rsid w:val="007F6017"/>
    <w:rsid w:val="00800AD8"/>
    <w:rsid w:val="008047B0"/>
    <w:rsid w:val="008072A4"/>
    <w:rsid w:val="0081017C"/>
    <w:rsid w:val="008130A6"/>
    <w:rsid w:val="00846412"/>
    <w:rsid w:val="00847026"/>
    <w:rsid w:val="008516B5"/>
    <w:rsid w:val="008567AD"/>
    <w:rsid w:val="00885E2F"/>
    <w:rsid w:val="008B5963"/>
    <w:rsid w:val="008D09AA"/>
    <w:rsid w:val="008D3A61"/>
    <w:rsid w:val="008D78FC"/>
    <w:rsid w:val="008D7AAA"/>
    <w:rsid w:val="008E6721"/>
    <w:rsid w:val="00916B85"/>
    <w:rsid w:val="00962E89"/>
    <w:rsid w:val="00966E82"/>
    <w:rsid w:val="00975D63"/>
    <w:rsid w:val="0097737A"/>
    <w:rsid w:val="00993CE0"/>
    <w:rsid w:val="009A76C1"/>
    <w:rsid w:val="009F00D8"/>
    <w:rsid w:val="00A11503"/>
    <w:rsid w:val="00A34A81"/>
    <w:rsid w:val="00A57D8B"/>
    <w:rsid w:val="00A71D38"/>
    <w:rsid w:val="00A830FD"/>
    <w:rsid w:val="00A924FC"/>
    <w:rsid w:val="00AE5716"/>
    <w:rsid w:val="00AF2520"/>
    <w:rsid w:val="00AF4C2E"/>
    <w:rsid w:val="00B07397"/>
    <w:rsid w:val="00B17FA7"/>
    <w:rsid w:val="00B222D7"/>
    <w:rsid w:val="00B71E3E"/>
    <w:rsid w:val="00B87EA3"/>
    <w:rsid w:val="00BA0BE9"/>
    <w:rsid w:val="00BA3C47"/>
    <w:rsid w:val="00BD1466"/>
    <w:rsid w:val="00BE4838"/>
    <w:rsid w:val="00C03048"/>
    <w:rsid w:val="00C2748D"/>
    <w:rsid w:val="00C572D7"/>
    <w:rsid w:val="00C62F09"/>
    <w:rsid w:val="00C670C8"/>
    <w:rsid w:val="00C81EB7"/>
    <w:rsid w:val="00C96F88"/>
    <w:rsid w:val="00CA5188"/>
    <w:rsid w:val="00CA77FC"/>
    <w:rsid w:val="00CB2403"/>
    <w:rsid w:val="00CD69B5"/>
    <w:rsid w:val="00CE12BC"/>
    <w:rsid w:val="00D3451D"/>
    <w:rsid w:val="00D4367F"/>
    <w:rsid w:val="00D46434"/>
    <w:rsid w:val="00D77B58"/>
    <w:rsid w:val="00DA6DDC"/>
    <w:rsid w:val="00E1251B"/>
    <w:rsid w:val="00E16034"/>
    <w:rsid w:val="00E274E1"/>
    <w:rsid w:val="00E4380A"/>
    <w:rsid w:val="00E91860"/>
    <w:rsid w:val="00EB588D"/>
    <w:rsid w:val="00ED0AF7"/>
    <w:rsid w:val="00EF306D"/>
    <w:rsid w:val="00EF4A51"/>
    <w:rsid w:val="00F75F93"/>
    <w:rsid w:val="00F90064"/>
    <w:rsid w:val="00F9796F"/>
    <w:rsid w:val="00FC0035"/>
    <w:rsid w:val="00FD12B6"/>
    <w:rsid w:val="00FD1C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C3420"/>
  <w15:chartTrackingRefBased/>
  <w15:docId w15:val="{E921DCC2-4EAF-4610-9CA1-9E009DEA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1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1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1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17C"/>
    <w:rPr>
      <w:rFonts w:eastAsiaTheme="majorEastAsia" w:cstheme="majorBidi"/>
      <w:color w:val="272727" w:themeColor="text1" w:themeTint="D8"/>
    </w:rPr>
  </w:style>
  <w:style w:type="paragraph" w:styleId="Title">
    <w:name w:val="Title"/>
    <w:basedOn w:val="Normal"/>
    <w:next w:val="Normal"/>
    <w:link w:val="TitleChar"/>
    <w:uiPriority w:val="10"/>
    <w:qFormat/>
    <w:rsid w:val="00810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17C"/>
    <w:pPr>
      <w:spacing w:before="160"/>
      <w:jc w:val="center"/>
    </w:pPr>
    <w:rPr>
      <w:i/>
      <w:iCs/>
      <w:color w:val="404040" w:themeColor="text1" w:themeTint="BF"/>
    </w:rPr>
  </w:style>
  <w:style w:type="character" w:customStyle="1" w:styleId="QuoteChar">
    <w:name w:val="Quote Char"/>
    <w:basedOn w:val="DefaultParagraphFont"/>
    <w:link w:val="Quote"/>
    <w:uiPriority w:val="29"/>
    <w:rsid w:val="0081017C"/>
    <w:rPr>
      <w:i/>
      <w:iCs/>
      <w:color w:val="404040" w:themeColor="text1" w:themeTint="BF"/>
    </w:rPr>
  </w:style>
  <w:style w:type="paragraph" w:styleId="ListParagraph">
    <w:name w:val="List Paragraph"/>
    <w:basedOn w:val="Normal"/>
    <w:uiPriority w:val="34"/>
    <w:qFormat/>
    <w:rsid w:val="0081017C"/>
    <w:pPr>
      <w:ind w:left="720"/>
      <w:contextualSpacing/>
    </w:pPr>
  </w:style>
  <w:style w:type="character" w:styleId="IntenseEmphasis">
    <w:name w:val="Intense Emphasis"/>
    <w:basedOn w:val="DefaultParagraphFont"/>
    <w:uiPriority w:val="21"/>
    <w:qFormat/>
    <w:rsid w:val="0081017C"/>
    <w:rPr>
      <w:i/>
      <w:iCs/>
      <w:color w:val="0F4761" w:themeColor="accent1" w:themeShade="BF"/>
    </w:rPr>
  </w:style>
  <w:style w:type="paragraph" w:styleId="IntenseQuote">
    <w:name w:val="Intense Quote"/>
    <w:basedOn w:val="Normal"/>
    <w:next w:val="Normal"/>
    <w:link w:val="IntenseQuoteChar"/>
    <w:uiPriority w:val="30"/>
    <w:qFormat/>
    <w:rsid w:val="00810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17C"/>
    <w:rPr>
      <w:i/>
      <w:iCs/>
      <w:color w:val="0F4761" w:themeColor="accent1" w:themeShade="BF"/>
    </w:rPr>
  </w:style>
  <w:style w:type="character" w:styleId="IntenseReference">
    <w:name w:val="Intense Reference"/>
    <w:basedOn w:val="DefaultParagraphFont"/>
    <w:uiPriority w:val="32"/>
    <w:qFormat/>
    <w:rsid w:val="0081017C"/>
    <w:rPr>
      <w:b/>
      <w:bCs/>
      <w:smallCaps/>
      <w:color w:val="0F4761" w:themeColor="accent1" w:themeShade="BF"/>
      <w:spacing w:val="5"/>
    </w:rPr>
  </w:style>
  <w:style w:type="character" w:styleId="Hyperlink">
    <w:name w:val="Hyperlink"/>
    <w:basedOn w:val="DefaultParagraphFont"/>
    <w:uiPriority w:val="99"/>
    <w:unhideWhenUsed/>
    <w:rsid w:val="00D4367F"/>
    <w:rPr>
      <w:color w:val="467886" w:themeColor="hyperlink"/>
      <w:u w:val="single"/>
    </w:rPr>
  </w:style>
  <w:style w:type="character" w:styleId="UnresolvedMention">
    <w:name w:val="Unresolved Mention"/>
    <w:basedOn w:val="DefaultParagraphFont"/>
    <w:uiPriority w:val="99"/>
    <w:semiHidden/>
    <w:unhideWhenUsed/>
    <w:rsid w:val="00D4367F"/>
    <w:rPr>
      <w:color w:val="605E5C"/>
      <w:shd w:val="clear" w:color="auto" w:fill="E1DFDD"/>
    </w:rPr>
  </w:style>
  <w:style w:type="table" w:styleId="TableGrid">
    <w:name w:val="Table Grid"/>
    <w:basedOn w:val="TableNormal"/>
    <w:uiPriority w:val="39"/>
    <w:rsid w:val="00695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874493">
      <w:bodyDiv w:val="1"/>
      <w:marLeft w:val="0"/>
      <w:marRight w:val="0"/>
      <w:marTop w:val="0"/>
      <w:marBottom w:val="0"/>
      <w:divBdr>
        <w:top w:val="none" w:sz="0" w:space="0" w:color="auto"/>
        <w:left w:val="none" w:sz="0" w:space="0" w:color="auto"/>
        <w:bottom w:val="none" w:sz="0" w:space="0" w:color="auto"/>
        <w:right w:val="none" w:sz="0" w:space="0" w:color="auto"/>
      </w:divBdr>
    </w:div>
    <w:div w:id="884826898">
      <w:bodyDiv w:val="1"/>
      <w:marLeft w:val="0"/>
      <w:marRight w:val="0"/>
      <w:marTop w:val="0"/>
      <w:marBottom w:val="0"/>
      <w:divBdr>
        <w:top w:val="none" w:sz="0" w:space="0" w:color="auto"/>
        <w:left w:val="none" w:sz="0" w:space="0" w:color="auto"/>
        <w:bottom w:val="none" w:sz="0" w:space="0" w:color="auto"/>
        <w:right w:val="none" w:sz="0" w:space="0" w:color="auto"/>
      </w:divBdr>
    </w:div>
    <w:div w:id="1140490015">
      <w:bodyDiv w:val="1"/>
      <w:marLeft w:val="0"/>
      <w:marRight w:val="0"/>
      <w:marTop w:val="0"/>
      <w:marBottom w:val="0"/>
      <w:divBdr>
        <w:top w:val="none" w:sz="0" w:space="0" w:color="auto"/>
        <w:left w:val="none" w:sz="0" w:space="0" w:color="auto"/>
        <w:bottom w:val="none" w:sz="0" w:space="0" w:color="auto"/>
        <w:right w:val="none" w:sz="0" w:space="0" w:color="auto"/>
      </w:divBdr>
    </w:div>
    <w:div w:id="1281645655">
      <w:bodyDiv w:val="1"/>
      <w:marLeft w:val="0"/>
      <w:marRight w:val="0"/>
      <w:marTop w:val="0"/>
      <w:marBottom w:val="0"/>
      <w:divBdr>
        <w:top w:val="none" w:sz="0" w:space="0" w:color="auto"/>
        <w:left w:val="none" w:sz="0" w:space="0" w:color="auto"/>
        <w:bottom w:val="none" w:sz="0" w:space="0" w:color="auto"/>
        <w:right w:val="none" w:sz="0" w:space="0" w:color="auto"/>
      </w:divBdr>
    </w:div>
    <w:div w:id="1324695814">
      <w:bodyDiv w:val="1"/>
      <w:marLeft w:val="0"/>
      <w:marRight w:val="0"/>
      <w:marTop w:val="0"/>
      <w:marBottom w:val="0"/>
      <w:divBdr>
        <w:top w:val="none" w:sz="0" w:space="0" w:color="auto"/>
        <w:left w:val="none" w:sz="0" w:space="0" w:color="auto"/>
        <w:bottom w:val="none" w:sz="0" w:space="0" w:color="auto"/>
        <w:right w:val="none" w:sz="0" w:space="0" w:color="auto"/>
      </w:divBdr>
    </w:div>
    <w:div w:id="1451436802">
      <w:bodyDiv w:val="1"/>
      <w:marLeft w:val="0"/>
      <w:marRight w:val="0"/>
      <w:marTop w:val="0"/>
      <w:marBottom w:val="0"/>
      <w:divBdr>
        <w:top w:val="none" w:sz="0" w:space="0" w:color="auto"/>
        <w:left w:val="none" w:sz="0" w:space="0" w:color="auto"/>
        <w:bottom w:val="none" w:sz="0" w:space="0" w:color="auto"/>
        <w:right w:val="none" w:sz="0" w:space="0" w:color="auto"/>
      </w:divBdr>
    </w:div>
    <w:div w:id="1456295563">
      <w:bodyDiv w:val="1"/>
      <w:marLeft w:val="0"/>
      <w:marRight w:val="0"/>
      <w:marTop w:val="0"/>
      <w:marBottom w:val="0"/>
      <w:divBdr>
        <w:top w:val="none" w:sz="0" w:space="0" w:color="auto"/>
        <w:left w:val="none" w:sz="0" w:space="0" w:color="auto"/>
        <w:bottom w:val="none" w:sz="0" w:space="0" w:color="auto"/>
        <w:right w:val="none" w:sz="0" w:space="0" w:color="auto"/>
      </w:divBdr>
    </w:div>
    <w:div w:id="1535460342">
      <w:bodyDiv w:val="1"/>
      <w:marLeft w:val="0"/>
      <w:marRight w:val="0"/>
      <w:marTop w:val="0"/>
      <w:marBottom w:val="0"/>
      <w:divBdr>
        <w:top w:val="none" w:sz="0" w:space="0" w:color="auto"/>
        <w:left w:val="none" w:sz="0" w:space="0" w:color="auto"/>
        <w:bottom w:val="none" w:sz="0" w:space="0" w:color="auto"/>
        <w:right w:val="none" w:sz="0" w:space="0" w:color="auto"/>
      </w:divBdr>
    </w:div>
    <w:div w:id="1565028270">
      <w:bodyDiv w:val="1"/>
      <w:marLeft w:val="0"/>
      <w:marRight w:val="0"/>
      <w:marTop w:val="0"/>
      <w:marBottom w:val="0"/>
      <w:divBdr>
        <w:top w:val="none" w:sz="0" w:space="0" w:color="auto"/>
        <w:left w:val="none" w:sz="0" w:space="0" w:color="auto"/>
        <w:bottom w:val="none" w:sz="0" w:space="0" w:color="auto"/>
        <w:right w:val="none" w:sz="0" w:space="0" w:color="auto"/>
      </w:divBdr>
    </w:div>
    <w:div w:id="1645313863">
      <w:bodyDiv w:val="1"/>
      <w:marLeft w:val="0"/>
      <w:marRight w:val="0"/>
      <w:marTop w:val="0"/>
      <w:marBottom w:val="0"/>
      <w:divBdr>
        <w:top w:val="none" w:sz="0" w:space="0" w:color="auto"/>
        <w:left w:val="none" w:sz="0" w:space="0" w:color="auto"/>
        <w:bottom w:val="none" w:sz="0" w:space="0" w:color="auto"/>
        <w:right w:val="none" w:sz="0" w:space="0" w:color="auto"/>
      </w:divBdr>
    </w:div>
    <w:div w:id="1893736891">
      <w:bodyDiv w:val="1"/>
      <w:marLeft w:val="0"/>
      <w:marRight w:val="0"/>
      <w:marTop w:val="0"/>
      <w:marBottom w:val="0"/>
      <w:divBdr>
        <w:top w:val="none" w:sz="0" w:space="0" w:color="auto"/>
        <w:left w:val="none" w:sz="0" w:space="0" w:color="auto"/>
        <w:bottom w:val="none" w:sz="0" w:space="0" w:color="auto"/>
        <w:right w:val="none" w:sz="0" w:space="0" w:color="auto"/>
      </w:divBdr>
    </w:div>
    <w:div w:id="20418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ippf.org" TargetMode="External"/><Relationship Id="rId3" Type="http://schemas.openxmlformats.org/officeDocument/2006/relationships/settings" Target="settings.xml"/><Relationship Id="rId7" Type="http://schemas.openxmlformats.org/officeDocument/2006/relationships/hyperlink" Target="https://in.linkedin.com/company/ippfs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r.ippf.org" TargetMode="External"/><Relationship Id="rId11" Type="http://schemas.openxmlformats.org/officeDocument/2006/relationships/theme" Target="theme/theme1.xml"/><Relationship Id="rId5" Type="http://schemas.openxmlformats.org/officeDocument/2006/relationships/hyperlink" Target="mailto:procurement@ippf.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5</Pages>
  <Words>1435</Words>
  <Characters>8157</Characters>
  <Application>Microsoft Office Word</Application>
  <DocSecurity>0</DocSecurity>
  <Lines>247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Sonu Singh</dc:creator>
  <cp:keywords/>
  <dc:description/>
  <cp:lastModifiedBy>Jitendra Kumar</cp:lastModifiedBy>
  <cp:revision>104</cp:revision>
  <dcterms:created xsi:type="dcterms:W3CDTF">2025-01-07T13:01:00Z</dcterms:created>
  <dcterms:modified xsi:type="dcterms:W3CDTF">2025-01-31T08:02:00Z</dcterms:modified>
</cp:coreProperties>
</file>